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sz w:val="21"/>
          <w:szCs w:val="21"/>
        </w:rPr>
      </w:pPr>
    </w:p>
    <w:p>
      <w:pPr>
        <w:spacing w:line="360" w:lineRule="auto"/>
        <w:jc w:val="center"/>
        <w:rPr>
          <w:sz w:val="21"/>
          <w:szCs w:val="21"/>
        </w:rPr>
      </w:pPr>
    </w:p>
    <w:p>
      <w:pPr>
        <w:spacing w:line="360" w:lineRule="auto"/>
        <w:jc w:val="center"/>
        <w:rPr>
          <w:rFonts w:hint="eastAsia"/>
          <w:b/>
          <w:sz w:val="52"/>
          <w:szCs w:val="52"/>
        </w:rPr>
      </w:pPr>
    </w:p>
    <w:p>
      <w:pPr>
        <w:spacing w:line="360" w:lineRule="auto"/>
        <w:jc w:val="center"/>
        <w:rPr>
          <w:rFonts w:hint="eastAsia"/>
          <w:b/>
          <w:sz w:val="52"/>
          <w:szCs w:val="52"/>
        </w:rPr>
      </w:pPr>
    </w:p>
    <w:p>
      <w:pPr>
        <w:spacing w:line="360" w:lineRule="auto"/>
        <w:jc w:val="center"/>
        <w:rPr>
          <w:rFonts w:hint="eastAsia"/>
          <w:b/>
          <w:sz w:val="52"/>
          <w:szCs w:val="52"/>
        </w:rPr>
      </w:pPr>
    </w:p>
    <w:p>
      <w:pPr>
        <w:spacing w:line="360" w:lineRule="auto"/>
        <w:jc w:val="center"/>
        <w:rPr>
          <w:rFonts w:hint="eastAsia"/>
          <w:b/>
          <w:sz w:val="52"/>
          <w:szCs w:val="52"/>
        </w:rPr>
      </w:pPr>
    </w:p>
    <w:p>
      <w:pPr>
        <w:spacing w:line="360" w:lineRule="auto"/>
        <w:jc w:val="center"/>
        <w:rPr>
          <w:rFonts w:hint="eastAsia"/>
          <w:b/>
          <w:sz w:val="52"/>
          <w:szCs w:val="52"/>
        </w:rPr>
      </w:pPr>
      <w:r>
        <w:rPr>
          <w:rFonts w:hint="eastAsia"/>
          <w:b/>
          <w:sz w:val="52"/>
          <w:szCs w:val="52"/>
        </w:rPr>
        <w:t>龙岩市道路运政管理信息系统</w:t>
      </w:r>
    </w:p>
    <w:p>
      <w:pPr>
        <w:spacing w:line="360" w:lineRule="auto"/>
        <w:jc w:val="center"/>
        <w:rPr>
          <w:rFonts w:hint="eastAsia"/>
          <w:b/>
          <w:sz w:val="52"/>
          <w:szCs w:val="52"/>
        </w:rPr>
      </w:pPr>
      <w:r>
        <w:rPr>
          <w:rFonts w:hint="eastAsia"/>
          <w:b/>
          <w:sz w:val="52"/>
          <w:szCs w:val="52"/>
        </w:rPr>
        <w:t>运维服务内容及要求</w:t>
      </w:r>
    </w:p>
    <w:p>
      <w:pPr>
        <w:spacing w:line="360" w:lineRule="auto"/>
        <w:jc w:val="center"/>
        <w:rPr>
          <w:rFonts w:hint="eastAsia"/>
          <w:b/>
          <w:sz w:val="52"/>
          <w:szCs w:val="52"/>
        </w:rPr>
      </w:pPr>
    </w:p>
    <w:p>
      <w:pPr>
        <w:spacing w:line="360" w:lineRule="auto"/>
        <w:jc w:val="center"/>
        <w:rPr>
          <w:rFonts w:hint="eastAsia"/>
          <w:b/>
          <w:sz w:val="52"/>
          <w:szCs w:val="52"/>
        </w:rPr>
      </w:pPr>
    </w:p>
    <w:p>
      <w:pPr>
        <w:spacing w:line="360" w:lineRule="auto"/>
        <w:jc w:val="center"/>
        <w:rPr>
          <w:rFonts w:hint="eastAsia"/>
          <w:b/>
          <w:sz w:val="52"/>
          <w:szCs w:val="52"/>
        </w:rPr>
      </w:pPr>
    </w:p>
    <w:p>
      <w:pPr>
        <w:spacing w:line="360" w:lineRule="auto"/>
        <w:jc w:val="center"/>
        <w:rPr>
          <w:b/>
          <w:spacing w:val="40"/>
          <w:sz w:val="30"/>
        </w:rPr>
      </w:pPr>
    </w:p>
    <w:p>
      <w:pPr>
        <w:spacing w:line="360" w:lineRule="auto"/>
        <w:jc w:val="center"/>
        <w:rPr>
          <w:b/>
          <w:spacing w:val="40"/>
          <w:sz w:val="30"/>
        </w:rPr>
      </w:pPr>
    </w:p>
    <w:p>
      <w:pPr>
        <w:spacing w:line="360" w:lineRule="auto"/>
        <w:jc w:val="center"/>
        <w:rPr>
          <w:b/>
          <w:spacing w:val="40"/>
          <w:sz w:val="30"/>
        </w:rPr>
      </w:pPr>
    </w:p>
    <w:p>
      <w:pPr>
        <w:spacing w:line="360" w:lineRule="auto"/>
        <w:rPr>
          <w:b/>
          <w:spacing w:val="40"/>
          <w:sz w:val="30"/>
        </w:rPr>
      </w:pPr>
    </w:p>
    <w:p>
      <w:pPr>
        <w:spacing w:line="360" w:lineRule="auto"/>
        <w:rPr>
          <w:b/>
          <w:spacing w:val="40"/>
          <w:sz w:val="30"/>
        </w:rPr>
      </w:pPr>
    </w:p>
    <w:p>
      <w:pPr>
        <w:spacing w:line="360" w:lineRule="auto"/>
        <w:rPr>
          <w:b/>
          <w:spacing w:val="40"/>
          <w:sz w:val="30"/>
        </w:rPr>
      </w:pPr>
    </w:p>
    <w:p>
      <w:pPr>
        <w:spacing w:line="360" w:lineRule="auto"/>
        <w:rPr>
          <w:rFonts w:asciiTheme="minorEastAsia" w:hAnsiTheme="minorEastAsia"/>
          <w:b/>
          <w:spacing w:val="40"/>
          <w:sz w:val="30"/>
        </w:rPr>
      </w:pPr>
    </w:p>
    <w:p>
      <w:pPr>
        <w:pStyle w:val="9"/>
        <w:tabs>
          <w:tab w:val="right" w:leader="dot" w:pos="8296"/>
        </w:tabs>
        <w:spacing w:line="240" w:lineRule="auto"/>
        <w:jc w:val="center"/>
      </w:pPr>
      <w:r>
        <w:rPr>
          <w:rFonts w:hint="eastAsia" w:asciiTheme="minorEastAsia" w:hAnsiTheme="minorEastAsia" w:eastAsiaTheme="minorEastAsia"/>
          <w:b/>
          <w:sz w:val="30"/>
          <w:szCs w:val="30"/>
        </w:rPr>
        <w:t>目 录</w:t>
      </w:r>
      <w:r>
        <w:rPr>
          <w:rFonts w:asciiTheme="minorEastAsia" w:hAnsiTheme="minorEastAsia" w:eastAsiaTheme="minorEastAsia"/>
          <w:b/>
        </w:rPr>
        <w:fldChar w:fldCharType="begin"/>
      </w:r>
      <w:r>
        <w:rPr>
          <w:rFonts w:asciiTheme="minorEastAsia" w:hAnsiTheme="minorEastAsia" w:eastAsiaTheme="minorEastAsia"/>
          <w:b/>
        </w:rPr>
        <w:instrText xml:space="preserve"> </w:instrText>
      </w:r>
      <w:r>
        <w:rPr>
          <w:rFonts w:hint="eastAsia" w:asciiTheme="minorEastAsia" w:hAnsiTheme="minorEastAsia" w:eastAsiaTheme="minorEastAsia"/>
          <w:b/>
        </w:rPr>
        <w:instrText xml:space="preserve">TOC \o "1-3" \h \z \u</w:instrText>
      </w:r>
      <w:r>
        <w:rPr>
          <w:rFonts w:asciiTheme="minorEastAsia" w:hAnsiTheme="minorEastAsia" w:eastAsiaTheme="minorEastAsia"/>
          <w:b/>
        </w:rPr>
        <w:instrText xml:space="preserve"> </w:instrText>
      </w:r>
      <w:r>
        <w:rPr>
          <w:rFonts w:asciiTheme="minorEastAsia" w:hAnsiTheme="minorEastAsia" w:eastAsiaTheme="minorEastAsia"/>
          <w:b/>
        </w:rPr>
        <w:fldChar w:fldCharType="separate"/>
      </w:r>
    </w:p>
    <w:p>
      <w:pPr>
        <w:pStyle w:val="9"/>
        <w:tabs>
          <w:tab w:val="left" w:pos="960"/>
          <w:tab w:val="right" w:leader="dot" w:pos="8296"/>
        </w:tabs>
        <w:rPr>
          <w:rFonts w:asciiTheme="minorHAnsi" w:hAnsiTheme="minorHAnsi" w:eastAsiaTheme="minorEastAsia" w:cstheme="minorBidi"/>
          <w:sz w:val="21"/>
          <w:szCs w:val="22"/>
        </w:rPr>
      </w:pPr>
      <w:r>
        <w:fldChar w:fldCharType="begin"/>
      </w:r>
      <w:r>
        <w:instrText xml:space="preserve"> HYPERLINK \l "_Toc41716925" </w:instrText>
      </w:r>
      <w:r>
        <w:fldChar w:fldCharType="separate"/>
      </w:r>
      <w:r>
        <w:rPr>
          <w:rStyle w:val="12"/>
          <w:rFonts w:asciiTheme="minorEastAsia" w:hAnsiTheme="minorEastAsia"/>
        </w:rPr>
        <w:t>1.</w:t>
      </w:r>
      <w:r>
        <w:rPr>
          <w:rStyle w:val="12"/>
          <w:rFonts w:hint="eastAsia" w:asciiTheme="minorEastAsia" w:hAnsiTheme="minorEastAsia"/>
        </w:rPr>
        <w:t>总体要求</w:t>
      </w:r>
      <w:r>
        <w:tab/>
      </w:r>
      <w:r>
        <w:fldChar w:fldCharType="begin"/>
      </w:r>
      <w:r>
        <w:instrText xml:space="preserve"> PAGEREF _Toc41716925 \h </w:instrText>
      </w:r>
      <w:r>
        <w:fldChar w:fldCharType="separate"/>
      </w:r>
      <w:r>
        <w:t>3</w:t>
      </w:r>
      <w:r>
        <w:fldChar w:fldCharType="end"/>
      </w:r>
      <w:r>
        <w:fldChar w:fldCharType="end"/>
      </w:r>
    </w:p>
    <w:p>
      <w:pPr>
        <w:pStyle w:val="10"/>
        <w:tabs>
          <w:tab w:val="right" w:leader="dot" w:pos="8296"/>
        </w:tabs>
        <w:spacing w:line="360" w:lineRule="auto"/>
        <w:ind w:left="480"/>
        <w:rPr>
          <w:szCs w:val="22"/>
        </w:rPr>
      </w:pPr>
      <w:r>
        <w:fldChar w:fldCharType="begin"/>
      </w:r>
      <w:r>
        <w:instrText xml:space="preserve"> HYPERLINK \l "_Toc41716926" </w:instrText>
      </w:r>
      <w:r>
        <w:fldChar w:fldCharType="separate"/>
      </w:r>
      <w:r>
        <w:rPr>
          <w:rStyle w:val="12"/>
        </w:rPr>
        <w:t>1.1</w:t>
      </w:r>
      <w:r>
        <w:rPr>
          <w:rStyle w:val="12"/>
          <w:rFonts w:hint="eastAsia"/>
        </w:rPr>
        <w:t>服务标准</w:t>
      </w:r>
      <w:r>
        <w:tab/>
      </w:r>
      <w:r>
        <w:fldChar w:fldCharType="begin"/>
      </w:r>
      <w:r>
        <w:instrText xml:space="preserve"> PAGEREF _Toc41716926 \h </w:instrText>
      </w:r>
      <w:r>
        <w:fldChar w:fldCharType="separate"/>
      </w:r>
      <w:r>
        <w:t>3</w:t>
      </w:r>
      <w:r>
        <w:fldChar w:fldCharType="end"/>
      </w:r>
      <w:r>
        <w:fldChar w:fldCharType="end"/>
      </w:r>
    </w:p>
    <w:p>
      <w:pPr>
        <w:pStyle w:val="9"/>
        <w:tabs>
          <w:tab w:val="left" w:pos="420"/>
          <w:tab w:val="right" w:leader="dot" w:pos="8296"/>
        </w:tabs>
        <w:rPr>
          <w:rFonts w:asciiTheme="minorHAnsi" w:hAnsiTheme="minorHAnsi" w:eastAsiaTheme="minorEastAsia" w:cstheme="minorBidi"/>
          <w:sz w:val="21"/>
          <w:szCs w:val="22"/>
        </w:rPr>
      </w:pPr>
      <w:r>
        <w:fldChar w:fldCharType="begin"/>
      </w:r>
      <w:r>
        <w:instrText xml:space="preserve"> HYPERLINK \l "_Toc41716927" </w:instrText>
      </w:r>
      <w:r>
        <w:fldChar w:fldCharType="separate"/>
      </w:r>
      <w:r>
        <w:rPr>
          <w:rStyle w:val="12"/>
        </w:rPr>
        <w:t xml:space="preserve">2. </w:t>
      </w:r>
      <w:r>
        <w:rPr>
          <w:rStyle w:val="12"/>
          <w:rFonts w:hint="eastAsia"/>
        </w:rPr>
        <w:t>系统现状</w:t>
      </w:r>
      <w:r>
        <w:tab/>
      </w:r>
      <w:r>
        <w:fldChar w:fldCharType="begin"/>
      </w:r>
      <w:r>
        <w:instrText xml:space="preserve"> PAGEREF _Toc41716927 \h </w:instrText>
      </w:r>
      <w:r>
        <w:fldChar w:fldCharType="separate"/>
      </w:r>
      <w:r>
        <w:t>3</w:t>
      </w:r>
      <w:r>
        <w:fldChar w:fldCharType="end"/>
      </w:r>
      <w:r>
        <w:fldChar w:fldCharType="end"/>
      </w:r>
    </w:p>
    <w:p>
      <w:pPr>
        <w:pStyle w:val="10"/>
        <w:tabs>
          <w:tab w:val="right" w:leader="dot" w:pos="8296"/>
        </w:tabs>
        <w:spacing w:line="360" w:lineRule="auto"/>
        <w:ind w:left="480"/>
        <w:rPr>
          <w:szCs w:val="22"/>
        </w:rPr>
      </w:pPr>
      <w:r>
        <w:fldChar w:fldCharType="begin"/>
      </w:r>
      <w:r>
        <w:instrText xml:space="preserve"> HYPERLINK \l "_Toc41716928" </w:instrText>
      </w:r>
      <w:r>
        <w:fldChar w:fldCharType="separate"/>
      </w:r>
      <w:r>
        <w:rPr>
          <w:rStyle w:val="12"/>
        </w:rPr>
        <w:t>2.1</w:t>
      </w:r>
      <w:r>
        <w:rPr>
          <w:rStyle w:val="12"/>
          <w:rFonts w:hint="eastAsia"/>
        </w:rPr>
        <w:t>服务器组成</w:t>
      </w:r>
      <w:r>
        <w:tab/>
      </w:r>
      <w:r>
        <w:fldChar w:fldCharType="begin"/>
      </w:r>
      <w:r>
        <w:instrText xml:space="preserve"> PAGEREF _Toc41716928 \h </w:instrText>
      </w:r>
      <w:r>
        <w:fldChar w:fldCharType="separate"/>
      </w:r>
      <w:r>
        <w:t>3</w:t>
      </w:r>
      <w:r>
        <w:fldChar w:fldCharType="end"/>
      </w:r>
      <w:r>
        <w:fldChar w:fldCharType="end"/>
      </w:r>
    </w:p>
    <w:p>
      <w:pPr>
        <w:pStyle w:val="10"/>
        <w:tabs>
          <w:tab w:val="right" w:leader="dot" w:pos="8296"/>
        </w:tabs>
        <w:spacing w:line="360" w:lineRule="auto"/>
        <w:ind w:left="480"/>
        <w:rPr>
          <w:szCs w:val="22"/>
        </w:rPr>
      </w:pPr>
      <w:r>
        <w:fldChar w:fldCharType="begin"/>
      </w:r>
      <w:r>
        <w:instrText xml:space="preserve"> HYPERLINK \l "_Toc41716929" </w:instrText>
      </w:r>
      <w:r>
        <w:fldChar w:fldCharType="separate"/>
      </w:r>
      <w:r>
        <w:rPr>
          <w:rStyle w:val="12"/>
        </w:rPr>
        <w:t>2.2</w:t>
      </w:r>
      <w:r>
        <w:rPr>
          <w:rStyle w:val="12"/>
          <w:rFonts w:hint="eastAsia"/>
        </w:rPr>
        <w:t>系统组成</w:t>
      </w:r>
      <w:r>
        <w:tab/>
      </w:r>
      <w:r>
        <w:fldChar w:fldCharType="begin"/>
      </w:r>
      <w:r>
        <w:instrText xml:space="preserve"> PAGEREF _Toc41716929 \h </w:instrText>
      </w:r>
      <w:r>
        <w:fldChar w:fldCharType="separate"/>
      </w:r>
      <w:r>
        <w:t>4</w:t>
      </w:r>
      <w:r>
        <w:fldChar w:fldCharType="end"/>
      </w:r>
      <w:r>
        <w:fldChar w:fldCharType="end"/>
      </w:r>
    </w:p>
    <w:p>
      <w:pPr>
        <w:pStyle w:val="10"/>
        <w:tabs>
          <w:tab w:val="right" w:leader="dot" w:pos="8296"/>
        </w:tabs>
        <w:spacing w:line="360" w:lineRule="auto"/>
        <w:ind w:left="480"/>
        <w:rPr>
          <w:szCs w:val="22"/>
        </w:rPr>
      </w:pPr>
      <w:r>
        <w:fldChar w:fldCharType="begin"/>
      </w:r>
      <w:r>
        <w:instrText xml:space="preserve"> HYPERLINK \l "_Toc41716930" </w:instrText>
      </w:r>
      <w:r>
        <w:fldChar w:fldCharType="separate"/>
      </w:r>
      <w:r>
        <w:rPr>
          <w:rStyle w:val="12"/>
        </w:rPr>
        <w:t>2.3</w:t>
      </w:r>
      <w:r>
        <w:rPr>
          <w:rStyle w:val="12"/>
          <w:rFonts w:hint="eastAsia"/>
        </w:rPr>
        <w:t>用户组成</w:t>
      </w:r>
      <w:r>
        <w:tab/>
      </w:r>
      <w:r>
        <w:fldChar w:fldCharType="begin"/>
      </w:r>
      <w:r>
        <w:instrText xml:space="preserve"> PAGEREF _Toc41716930 \h </w:instrText>
      </w:r>
      <w:r>
        <w:fldChar w:fldCharType="separate"/>
      </w:r>
      <w:r>
        <w:t>4</w:t>
      </w:r>
      <w:r>
        <w:fldChar w:fldCharType="end"/>
      </w:r>
      <w:r>
        <w:fldChar w:fldCharType="end"/>
      </w:r>
    </w:p>
    <w:p>
      <w:pPr>
        <w:pStyle w:val="9"/>
        <w:tabs>
          <w:tab w:val="left" w:pos="420"/>
          <w:tab w:val="right" w:leader="dot" w:pos="8296"/>
        </w:tabs>
        <w:rPr>
          <w:rFonts w:asciiTheme="minorHAnsi" w:hAnsiTheme="minorHAnsi" w:eastAsiaTheme="minorEastAsia" w:cstheme="minorBidi"/>
          <w:sz w:val="21"/>
          <w:szCs w:val="22"/>
        </w:rPr>
      </w:pPr>
      <w:r>
        <w:fldChar w:fldCharType="begin"/>
      </w:r>
      <w:r>
        <w:instrText xml:space="preserve"> HYPERLINK \l "_Toc41716931" </w:instrText>
      </w:r>
      <w:r>
        <w:fldChar w:fldCharType="separate"/>
      </w:r>
      <w:r>
        <w:rPr>
          <w:rStyle w:val="12"/>
        </w:rPr>
        <w:t>3.</w:t>
      </w:r>
      <w:r>
        <w:rPr>
          <w:rFonts w:asciiTheme="minorHAnsi" w:hAnsiTheme="minorHAnsi" w:eastAsiaTheme="minorEastAsia" w:cstheme="minorBidi"/>
          <w:sz w:val="21"/>
          <w:szCs w:val="22"/>
        </w:rPr>
        <w:t xml:space="preserve"> </w:t>
      </w:r>
      <w:r>
        <w:rPr>
          <w:rStyle w:val="12"/>
          <w:rFonts w:hint="eastAsia"/>
        </w:rPr>
        <w:t>服务内容</w:t>
      </w:r>
      <w:r>
        <w:tab/>
      </w:r>
      <w:r>
        <w:fldChar w:fldCharType="begin"/>
      </w:r>
      <w:r>
        <w:instrText xml:space="preserve"> PAGEREF _Toc41716931 \h </w:instrText>
      </w:r>
      <w:r>
        <w:fldChar w:fldCharType="separate"/>
      </w:r>
      <w:r>
        <w:t>5</w:t>
      </w:r>
      <w:r>
        <w:fldChar w:fldCharType="end"/>
      </w:r>
      <w:r>
        <w:fldChar w:fldCharType="end"/>
      </w:r>
    </w:p>
    <w:p>
      <w:pPr>
        <w:pStyle w:val="10"/>
        <w:tabs>
          <w:tab w:val="right" w:leader="dot" w:pos="8296"/>
        </w:tabs>
        <w:spacing w:line="360" w:lineRule="auto"/>
        <w:ind w:left="480"/>
        <w:rPr>
          <w:szCs w:val="22"/>
        </w:rPr>
      </w:pPr>
      <w:r>
        <w:fldChar w:fldCharType="begin"/>
      </w:r>
      <w:r>
        <w:instrText xml:space="preserve"> HYPERLINK \l "_Toc41716932" </w:instrText>
      </w:r>
      <w:r>
        <w:fldChar w:fldCharType="separate"/>
      </w:r>
      <w:r>
        <w:rPr>
          <w:rStyle w:val="12"/>
        </w:rPr>
        <w:t>3.1</w:t>
      </w:r>
      <w:r>
        <w:rPr>
          <w:rStyle w:val="12"/>
          <w:rFonts w:hint="eastAsia"/>
        </w:rPr>
        <w:t>系统安全服务</w:t>
      </w:r>
      <w:r>
        <w:tab/>
      </w:r>
      <w:r>
        <w:fldChar w:fldCharType="begin"/>
      </w:r>
      <w:r>
        <w:instrText xml:space="preserve"> PAGEREF _Toc41716932 \h </w:instrText>
      </w:r>
      <w:r>
        <w:fldChar w:fldCharType="separate"/>
      </w:r>
      <w:r>
        <w:t>5</w:t>
      </w:r>
      <w:r>
        <w:fldChar w:fldCharType="end"/>
      </w:r>
      <w:r>
        <w:fldChar w:fldCharType="end"/>
      </w:r>
    </w:p>
    <w:p>
      <w:pPr>
        <w:pStyle w:val="10"/>
        <w:tabs>
          <w:tab w:val="right" w:leader="dot" w:pos="8296"/>
        </w:tabs>
        <w:spacing w:line="360" w:lineRule="auto"/>
        <w:ind w:left="480"/>
        <w:rPr>
          <w:szCs w:val="22"/>
        </w:rPr>
      </w:pPr>
      <w:r>
        <w:fldChar w:fldCharType="begin"/>
      </w:r>
      <w:r>
        <w:instrText xml:space="preserve"> HYPERLINK \l "_Toc41716933" </w:instrText>
      </w:r>
      <w:r>
        <w:fldChar w:fldCharType="separate"/>
      </w:r>
      <w:r>
        <w:rPr>
          <w:rStyle w:val="12"/>
        </w:rPr>
        <w:t>3.2</w:t>
      </w:r>
      <w:r>
        <w:rPr>
          <w:rStyle w:val="12"/>
          <w:rFonts w:hint="eastAsia"/>
        </w:rPr>
        <w:t>系统日常服务</w:t>
      </w:r>
      <w:r>
        <w:tab/>
      </w:r>
      <w:r>
        <w:fldChar w:fldCharType="begin"/>
      </w:r>
      <w:r>
        <w:instrText xml:space="preserve"> PAGEREF _Toc41716933 \h </w:instrText>
      </w:r>
      <w:r>
        <w:fldChar w:fldCharType="separate"/>
      </w:r>
      <w:r>
        <w:t>6</w:t>
      </w:r>
      <w:r>
        <w:fldChar w:fldCharType="end"/>
      </w:r>
      <w:r>
        <w:fldChar w:fldCharType="end"/>
      </w:r>
    </w:p>
    <w:p>
      <w:pPr>
        <w:pStyle w:val="10"/>
        <w:tabs>
          <w:tab w:val="right" w:leader="dot" w:pos="8296"/>
        </w:tabs>
        <w:spacing w:line="360" w:lineRule="auto"/>
        <w:ind w:left="480"/>
        <w:rPr>
          <w:szCs w:val="22"/>
        </w:rPr>
      </w:pPr>
      <w:r>
        <w:fldChar w:fldCharType="begin"/>
      </w:r>
      <w:r>
        <w:instrText xml:space="preserve"> HYPERLINK \l "_Toc41716934" </w:instrText>
      </w:r>
      <w:r>
        <w:fldChar w:fldCharType="separate"/>
      </w:r>
      <w:r>
        <w:rPr>
          <w:rStyle w:val="12"/>
        </w:rPr>
        <w:t>3.3</w:t>
      </w:r>
      <w:r>
        <w:rPr>
          <w:rStyle w:val="12"/>
          <w:rFonts w:hint="eastAsia"/>
        </w:rPr>
        <w:t>服务响应保障</w:t>
      </w:r>
      <w:r>
        <w:tab/>
      </w:r>
      <w:r>
        <w:fldChar w:fldCharType="begin"/>
      </w:r>
      <w:r>
        <w:instrText xml:space="preserve"> PAGEREF _Toc41716934 \h </w:instrText>
      </w:r>
      <w:r>
        <w:fldChar w:fldCharType="separate"/>
      </w:r>
      <w:r>
        <w:t>7</w:t>
      </w:r>
      <w:r>
        <w:fldChar w:fldCharType="end"/>
      </w:r>
      <w:r>
        <w:fldChar w:fldCharType="end"/>
      </w:r>
    </w:p>
    <w:p>
      <w:pPr>
        <w:jc w:val="center"/>
        <w:rPr>
          <w:rFonts w:asciiTheme="minorEastAsia" w:hAnsiTheme="minorEastAsia"/>
        </w:rPr>
      </w:pPr>
      <w:r>
        <w:rPr>
          <w:rFonts w:asciiTheme="minorEastAsia" w:hAnsiTheme="minorEastAsia"/>
        </w:rPr>
        <w:fldChar w:fldCharType="end"/>
      </w:r>
    </w:p>
    <w:p>
      <w:pPr>
        <w:spacing w:line="360" w:lineRule="auto"/>
        <w:jc w:val="center"/>
        <w:rPr>
          <w:rFonts w:asciiTheme="minorEastAsia" w:hAnsiTheme="minorEastAsia"/>
          <w:sz w:val="36"/>
          <w:szCs w:val="36"/>
        </w:rPr>
      </w:pPr>
    </w:p>
    <w:p>
      <w:pPr>
        <w:spacing w:line="360" w:lineRule="auto"/>
        <w:jc w:val="center"/>
        <w:rPr>
          <w:rFonts w:asciiTheme="minorEastAsia" w:hAnsiTheme="minorEastAsia"/>
          <w:sz w:val="36"/>
          <w:szCs w:val="36"/>
        </w:rPr>
      </w:pPr>
    </w:p>
    <w:p>
      <w:pPr>
        <w:spacing w:line="360" w:lineRule="auto"/>
        <w:jc w:val="center"/>
        <w:rPr>
          <w:rFonts w:asciiTheme="minorEastAsia" w:hAnsiTheme="minorEastAsia"/>
          <w:sz w:val="36"/>
          <w:szCs w:val="36"/>
        </w:rPr>
      </w:pPr>
    </w:p>
    <w:p>
      <w:pPr>
        <w:spacing w:line="360" w:lineRule="auto"/>
        <w:jc w:val="center"/>
        <w:rPr>
          <w:rFonts w:asciiTheme="minorEastAsia" w:hAnsiTheme="minorEastAsia"/>
          <w:sz w:val="36"/>
          <w:szCs w:val="36"/>
        </w:rPr>
      </w:pPr>
    </w:p>
    <w:p>
      <w:pPr>
        <w:spacing w:line="360" w:lineRule="auto"/>
        <w:jc w:val="center"/>
        <w:rPr>
          <w:rFonts w:asciiTheme="minorEastAsia" w:hAnsiTheme="minorEastAsia"/>
          <w:sz w:val="36"/>
          <w:szCs w:val="36"/>
        </w:rPr>
      </w:pPr>
    </w:p>
    <w:p>
      <w:pPr>
        <w:spacing w:line="360" w:lineRule="auto"/>
        <w:jc w:val="center"/>
        <w:rPr>
          <w:rFonts w:asciiTheme="minorEastAsia" w:hAnsiTheme="minorEastAsia"/>
          <w:sz w:val="36"/>
          <w:szCs w:val="36"/>
        </w:rPr>
      </w:pPr>
    </w:p>
    <w:p>
      <w:pPr>
        <w:spacing w:line="360" w:lineRule="auto"/>
        <w:jc w:val="center"/>
        <w:rPr>
          <w:rFonts w:asciiTheme="minorEastAsia" w:hAnsiTheme="minorEastAsia"/>
          <w:sz w:val="36"/>
          <w:szCs w:val="36"/>
        </w:rPr>
      </w:pPr>
    </w:p>
    <w:p>
      <w:pPr>
        <w:spacing w:line="360" w:lineRule="auto"/>
        <w:jc w:val="center"/>
        <w:rPr>
          <w:rFonts w:asciiTheme="minorEastAsia" w:hAnsiTheme="minorEastAsia"/>
          <w:sz w:val="36"/>
          <w:szCs w:val="36"/>
        </w:rPr>
      </w:pPr>
    </w:p>
    <w:p>
      <w:pPr>
        <w:spacing w:line="360" w:lineRule="auto"/>
        <w:jc w:val="center"/>
        <w:rPr>
          <w:rFonts w:asciiTheme="minorEastAsia" w:hAnsiTheme="minorEastAsia"/>
          <w:sz w:val="36"/>
          <w:szCs w:val="36"/>
        </w:rPr>
      </w:pPr>
    </w:p>
    <w:p>
      <w:pPr>
        <w:spacing w:line="360" w:lineRule="auto"/>
        <w:jc w:val="center"/>
        <w:rPr>
          <w:rFonts w:asciiTheme="minorEastAsia" w:hAnsiTheme="minorEastAsia"/>
          <w:sz w:val="36"/>
          <w:szCs w:val="36"/>
        </w:rPr>
      </w:pPr>
    </w:p>
    <w:p>
      <w:pPr>
        <w:spacing w:line="360" w:lineRule="auto"/>
        <w:jc w:val="center"/>
        <w:rPr>
          <w:rFonts w:asciiTheme="minorEastAsia" w:hAnsiTheme="minorEastAsia"/>
          <w:sz w:val="36"/>
          <w:szCs w:val="36"/>
        </w:rPr>
      </w:pPr>
    </w:p>
    <w:p>
      <w:pPr>
        <w:spacing w:line="360" w:lineRule="auto"/>
        <w:jc w:val="center"/>
        <w:rPr>
          <w:rFonts w:asciiTheme="minorEastAsia" w:hAnsiTheme="minorEastAsia"/>
          <w:sz w:val="36"/>
          <w:szCs w:val="36"/>
        </w:rPr>
      </w:pPr>
    </w:p>
    <w:p>
      <w:pPr>
        <w:pStyle w:val="2"/>
        <w:numPr>
          <w:ilvl w:val="0"/>
          <w:numId w:val="1"/>
        </w:numPr>
        <w:rPr>
          <w:rFonts w:asciiTheme="minorEastAsia" w:hAnsiTheme="minorEastAsia"/>
        </w:rPr>
      </w:pPr>
      <w:bookmarkStart w:id="0" w:name="_Toc41716925"/>
      <w:r>
        <w:rPr>
          <w:rFonts w:hint="eastAsia" w:asciiTheme="minorEastAsia" w:hAnsiTheme="minorEastAsia"/>
        </w:rPr>
        <w:t>总</w:t>
      </w:r>
      <w:r>
        <w:rPr>
          <w:rFonts w:asciiTheme="minorEastAsia" w:hAnsiTheme="minorEastAsia"/>
        </w:rPr>
        <w:t>体要求</w:t>
      </w:r>
      <w:bookmarkEnd w:id="0"/>
    </w:p>
    <w:p>
      <w:pPr>
        <w:spacing w:line="360" w:lineRule="auto"/>
        <w:ind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本</w:t>
      </w:r>
      <w:r>
        <w:rPr>
          <w:rFonts w:asciiTheme="minorEastAsia" w:hAnsiTheme="minorEastAsia"/>
          <w:sz w:val="28"/>
          <w:szCs w:val="28"/>
        </w:rPr>
        <w:t>次服务</w:t>
      </w:r>
      <w:r>
        <w:rPr>
          <w:rFonts w:hint="eastAsia" w:asciiTheme="minorEastAsia" w:hAnsiTheme="minorEastAsia"/>
          <w:sz w:val="28"/>
          <w:szCs w:val="28"/>
        </w:rPr>
        <w:t>为龙岩市道路运政管理信息系统涉</w:t>
      </w:r>
      <w:r>
        <w:rPr>
          <w:rFonts w:asciiTheme="minorEastAsia" w:hAnsiTheme="minorEastAsia"/>
          <w:sz w:val="28"/>
          <w:szCs w:val="28"/>
        </w:rPr>
        <w:t>及到的</w:t>
      </w:r>
      <w:r>
        <w:rPr>
          <w:rFonts w:hint="eastAsia" w:asciiTheme="minorEastAsia" w:hAnsiTheme="minorEastAsia"/>
          <w:sz w:val="28"/>
          <w:szCs w:val="28"/>
        </w:rPr>
        <w:t>应用系统、外</w:t>
      </w:r>
      <w:r>
        <w:rPr>
          <w:rFonts w:asciiTheme="minorEastAsia" w:hAnsiTheme="minorEastAsia"/>
          <w:sz w:val="28"/>
          <w:szCs w:val="28"/>
        </w:rPr>
        <w:t>围接入</w:t>
      </w:r>
      <w:r>
        <w:rPr>
          <w:rFonts w:hint="eastAsia" w:asciiTheme="minorEastAsia" w:hAnsiTheme="minorEastAsia"/>
          <w:sz w:val="28"/>
          <w:szCs w:val="28"/>
        </w:rPr>
        <w:t>平</w:t>
      </w:r>
      <w:r>
        <w:rPr>
          <w:rFonts w:asciiTheme="minorEastAsia" w:hAnsiTheme="minorEastAsia"/>
          <w:sz w:val="28"/>
          <w:szCs w:val="28"/>
        </w:rPr>
        <w:t>台及接口服务</w:t>
      </w:r>
      <w:r>
        <w:rPr>
          <w:rFonts w:hint="eastAsia" w:asciiTheme="minorEastAsia" w:hAnsiTheme="minorEastAsia"/>
          <w:sz w:val="28"/>
          <w:szCs w:val="28"/>
        </w:rPr>
        <w:t>，服务内容包括日常运维服务、系统运行安全服务、应用系统维保服务、信息化建设咨询服务等。</w:t>
      </w:r>
    </w:p>
    <w:p>
      <w:pPr>
        <w:pStyle w:val="3"/>
      </w:pPr>
      <w:bookmarkStart w:id="1" w:name="_Toc41716926"/>
      <w:r>
        <w:rPr>
          <w:rFonts w:hint="eastAsia"/>
        </w:rPr>
        <w:t>1.1服务</w:t>
      </w:r>
      <w:r>
        <w:t>标准</w:t>
      </w:r>
      <w:bookmarkEnd w:id="1"/>
    </w:p>
    <w:p>
      <w:pPr>
        <w:rPr>
          <w:sz w:val="28"/>
          <w:szCs w:val="28"/>
        </w:rPr>
      </w:pPr>
      <w:r>
        <w:rPr>
          <w:sz w:val="28"/>
          <w:szCs w:val="28"/>
        </w:rPr>
        <w:t>1）根据目前</w:t>
      </w:r>
      <w:r>
        <w:rPr>
          <w:rFonts w:hint="eastAsia"/>
          <w:sz w:val="28"/>
          <w:szCs w:val="28"/>
          <w:lang w:eastAsia="zh-CN"/>
        </w:rPr>
        <w:t>龙岩市</w:t>
      </w:r>
      <w:r>
        <w:rPr>
          <w:rFonts w:hint="eastAsia" w:asciiTheme="minorEastAsia" w:hAnsiTheme="minorEastAsia"/>
          <w:sz w:val="28"/>
          <w:szCs w:val="28"/>
        </w:rPr>
        <w:t>道路运政管理信息系统</w:t>
      </w:r>
      <w:r>
        <w:rPr>
          <w:sz w:val="28"/>
          <w:szCs w:val="28"/>
        </w:rPr>
        <w:t>使用情况，需对系统进行技术维护和保障；</w:t>
      </w:r>
    </w:p>
    <w:p>
      <w:pPr>
        <w:rPr>
          <w:sz w:val="28"/>
          <w:szCs w:val="28"/>
        </w:rPr>
      </w:pPr>
      <w:r>
        <w:rPr>
          <w:sz w:val="28"/>
          <w:szCs w:val="28"/>
        </w:rPr>
        <w:t>2）确保系统的正常使用；</w:t>
      </w:r>
    </w:p>
    <w:p>
      <w:pPr>
        <w:rPr>
          <w:sz w:val="28"/>
          <w:szCs w:val="28"/>
        </w:rPr>
      </w:pPr>
      <w:r>
        <w:rPr>
          <w:sz w:val="28"/>
          <w:szCs w:val="28"/>
        </w:rPr>
        <w:t>3）对</w:t>
      </w:r>
      <w:r>
        <w:rPr>
          <w:rFonts w:hint="eastAsia"/>
          <w:sz w:val="28"/>
          <w:szCs w:val="28"/>
          <w:lang w:eastAsia="zh-CN"/>
        </w:rPr>
        <w:t>龙岩市</w:t>
      </w:r>
      <w:r>
        <w:rPr>
          <w:rFonts w:hint="eastAsia" w:asciiTheme="minorEastAsia" w:hAnsiTheme="minorEastAsia"/>
          <w:sz w:val="28"/>
          <w:szCs w:val="28"/>
        </w:rPr>
        <w:t>道路运政管理信息系统</w:t>
      </w:r>
      <w:r>
        <w:rPr>
          <w:sz w:val="28"/>
          <w:szCs w:val="28"/>
        </w:rPr>
        <w:t>的数据进行备份，制定策略；</w:t>
      </w:r>
    </w:p>
    <w:p>
      <w:pPr>
        <w:rPr>
          <w:sz w:val="28"/>
          <w:szCs w:val="28"/>
        </w:rPr>
      </w:pPr>
      <w:r>
        <w:rPr>
          <w:sz w:val="28"/>
          <w:szCs w:val="28"/>
        </w:rPr>
        <w:t>4）解答系统在应用过程中存在的问题；</w:t>
      </w:r>
    </w:p>
    <w:p>
      <w:pPr>
        <w:rPr>
          <w:sz w:val="28"/>
          <w:szCs w:val="28"/>
        </w:rPr>
      </w:pPr>
      <w:r>
        <w:rPr>
          <w:sz w:val="28"/>
          <w:szCs w:val="28"/>
        </w:rPr>
        <w:t>5）提交运维报告，建立应用软件系统维护档案；</w:t>
      </w:r>
    </w:p>
    <w:p>
      <w:pPr>
        <w:rPr>
          <w:rFonts w:hint="eastAsia"/>
          <w:sz w:val="28"/>
          <w:szCs w:val="28"/>
        </w:rPr>
      </w:pPr>
      <w:r>
        <w:rPr>
          <w:sz w:val="28"/>
          <w:szCs w:val="28"/>
        </w:rPr>
        <w:t>6) 其他相关维护工作。</w:t>
      </w:r>
    </w:p>
    <w:p>
      <w:pPr>
        <w:pStyle w:val="2"/>
        <w:numPr>
          <w:ilvl w:val="0"/>
          <w:numId w:val="1"/>
        </w:numPr>
      </w:pPr>
      <w:bookmarkStart w:id="2" w:name="_Toc41716927"/>
      <w:r>
        <w:rPr>
          <w:rFonts w:hint="eastAsia"/>
        </w:rPr>
        <w:t>系统</w:t>
      </w:r>
      <w:r>
        <w:t>现状</w:t>
      </w:r>
      <w:bookmarkEnd w:id="2"/>
    </w:p>
    <w:p>
      <w:pPr>
        <w:pStyle w:val="3"/>
        <w:rPr>
          <w:rFonts w:hint="eastAsia"/>
        </w:rPr>
      </w:pPr>
      <w:bookmarkStart w:id="3" w:name="_Toc41716928"/>
      <w:r>
        <w:rPr>
          <w:rFonts w:hint="eastAsia"/>
        </w:rPr>
        <w:t>2.1</w:t>
      </w:r>
      <w:bookmarkEnd w:id="3"/>
      <w:r>
        <w:rPr>
          <w:rFonts w:hint="eastAsia"/>
        </w:rPr>
        <w:t>龙岩市道路运政管理信息系统云资源池</w:t>
      </w:r>
    </w:p>
    <w:tbl>
      <w:tblPr>
        <w:tblStyle w:val="14"/>
        <w:tblW w:w="82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1701"/>
        <w:gridCol w:w="3260"/>
        <w:gridCol w:w="24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>
            <w:pPr>
              <w:widowControl w:val="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序</w:t>
            </w:r>
            <w:r>
              <w:rPr>
                <w:b/>
              </w:rPr>
              <w:t>号</w:t>
            </w:r>
          </w:p>
        </w:tc>
        <w:tc>
          <w:tcPr>
            <w:tcW w:w="1701" w:type="dxa"/>
          </w:tcPr>
          <w:p>
            <w:pPr>
              <w:widowControl w:val="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服务</w:t>
            </w:r>
            <w:r>
              <w:rPr>
                <w:b/>
              </w:rPr>
              <w:t>器</w:t>
            </w:r>
            <w:r>
              <w:rPr>
                <w:rFonts w:hint="eastAsia"/>
                <w:b/>
              </w:rPr>
              <w:t>名</w:t>
            </w:r>
            <w:r>
              <w:rPr>
                <w:b/>
              </w:rPr>
              <w:t>称</w:t>
            </w:r>
          </w:p>
        </w:tc>
        <w:tc>
          <w:tcPr>
            <w:tcW w:w="3260" w:type="dxa"/>
          </w:tcPr>
          <w:p>
            <w:pPr>
              <w:widowControl w:val="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配</w:t>
            </w:r>
            <w:r>
              <w:rPr>
                <w:b/>
              </w:rPr>
              <w:t>置</w:t>
            </w:r>
            <w:r>
              <w:rPr>
                <w:rFonts w:hint="eastAsia"/>
                <w:b/>
              </w:rPr>
              <w:t>要求</w:t>
            </w:r>
          </w:p>
        </w:tc>
        <w:tc>
          <w:tcPr>
            <w:tcW w:w="2489" w:type="dxa"/>
          </w:tcPr>
          <w:p>
            <w:pPr>
              <w:widowControl w:val="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用途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>
            <w:pPr>
              <w:widowControl w:val="0"/>
              <w:jc w:val="both"/>
            </w:pPr>
          </w:p>
          <w:p>
            <w:pPr>
              <w:widowControl w:val="0"/>
              <w:jc w:val="both"/>
            </w:pPr>
            <w:r>
              <w:rPr>
                <w:rFonts w:hint="eastAsia"/>
              </w:rPr>
              <w:t>1</w:t>
            </w:r>
          </w:p>
        </w:tc>
        <w:tc>
          <w:tcPr>
            <w:tcW w:w="1701" w:type="dxa"/>
          </w:tcPr>
          <w:p>
            <w:pPr>
              <w:widowControl w:val="0"/>
              <w:jc w:val="both"/>
            </w:pPr>
            <w:r>
              <w:rPr>
                <w:rFonts w:hint="eastAsia"/>
              </w:rPr>
              <w:t>应用服务器</w:t>
            </w:r>
          </w:p>
          <w:p>
            <w:pPr>
              <w:widowControl w:val="0"/>
              <w:jc w:val="both"/>
            </w:pPr>
          </w:p>
        </w:tc>
        <w:tc>
          <w:tcPr>
            <w:tcW w:w="3260" w:type="dxa"/>
          </w:tcPr>
          <w:p>
            <w:pPr>
              <w:widowControl w:val="0"/>
              <w:jc w:val="both"/>
            </w:pPr>
            <w:r>
              <w:rPr>
                <w:rFonts w:hint="eastAsia"/>
              </w:rPr>
              <w:t>型号：云主机</w:t>
            </w:r>
          </w:p>
          <w:p>
            <w:pPr>
              <w:widowControl w:val="0"/>
              <w:jc w:val="both"/>
            </w:pPr>
            <w:r>
              <w:rPr>
                <w:rFonts w:hint="eastAsia"/>
              </w:rPr>
              <w:t>处理器：16核</w:t>
            </w:r>
          </w:p>
          <w:p>
            <w:pPr>
              <w:widowControl w:val="0"/>
              <w:jc w:val="both"/>
            </w:pPr>
            <w:r>
              <w:rPr>
                <w:rFonts w:hint="eastAsia"/>
              </w:rPr>
              <w:t>内存：32GB</w:t>
            </w:r>
          </w:p>
          <w:p>
            <w:pPr>
              <w:widowControl w:val="0"/>
              <w:jc w:val="both"/>
            </w:pPr>
            <w:r>
              <w:rPr>
                <w:rFonts w:hint="eastAsia"/>
              </w:rPr>
              <w:t>硬盘：50G（系统盘）+400G</w:t>
            </w:r>
          </w:p>
          <w:p>
            <w:pPr>
              <w:widowControl w:val="0"/>
              <w:jc w:val="both"/>
            </w:pPr>
            <w:r>
              <w:rPr>
                <w:rFonts w:hint="eastAsia"/>
              </w:rPr>
              <w:t>操作系统：Windows Server 2012 R2</w:t>
            </w:r>
            <w:r>
              <w:t xml:space="preserve"> </w:t>
            </w:r>
            <w:r>
              <w:rPr>
                <w:rFonts w:hint="eastAsia"/>
              </w:rPr>
              <w:t>Da</w:t>
            </w:r>
            <w:r>
              <w:t>tacenter</w:t>
            </w:r>
          </w:p>
        </w:tc>
        <w:tc>
          <w:tcPr>
            <w:tcW w:w="2489" w:type="dxa"/>
          </w:tcPr>
          <w:p>
            <w:pPr>
              <w:widowControl w:val="0"/>
              <w:jc w:val="both"/>
            </w:pPr>
            <w:r>
              <w:rPr>
                <w:rFonts w:hint="eastAsia"/>
              </w:rPr>
              <w:t>运政信息系统的入口，运行运政、综检等服务。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>
            <w:pPr>
              <w:widowControl w:val="0"/>
              <w:jc w:val="both"/>
            </w:pPr>
            <w:r>
              <w:t>2</w:t>
            </w:r>
          </w:p>
        </w:tc>
        <w:tc>
          <w:tcPr>
            <w:tcW w:w="1701" w:type="dxa"/>
          </w:tcPr>
          <w:p>
            <w:pPr>
              <w:widowControl w:val="0"/>
              <w:jc w:val="both"/>
            </w:pPr>
            <w:r>
              <w:rPr>
                <w:rFonts w:hint="eastAsia"/>
              </w:rPr>
              <w:t>数据交互服务器</w:t>
            </w:r>
          </w:p>
        </w:tc>
        <w:tc>
          <w:tcPr>
            <w:tcW w:w="3260" w:type="dxa"/>
          </w:tcPr>
          <w:p>
            <w:pPr>
              <w:widowControl w:val="0"/>
              <w:jc w:val="both"/>
            </w:pPr>
            <w:r>
              <w:rPr>
                <w:rFonts w:hint="eastAsia"/>
              </w:rPr>
              <w:t>型号：云主机</w:t>
            </w:r>
          </w:p>
          <w:p>
            <w:pPr>
              <w:widowControl w:val="0"/>
              <w:jc w:val="both"/>
            </w:pPr>
            <w:r>
              <w:rPr>
                <w:rFonts w:hint="eastAsia"/>
              </w:rPr>
              <w:t>处理器：2核</w:t>
            </w:r>
          </w:p>
          <w:p>
            <w:pPr>
              <w:widowControl w:val="0"/>
              <w:jc w:val="both"/>
            </w:pPr>
            <w:r>
              <w:rPr>
                <w:rFonts w:hint="eastAsia"/>
              </w:rPr>
              <w:t>内存：4GB</w:t>
            </w:r>
          </w:p>
          <w:p>
            <w:pPr>
              <w:widowControl w:val="0"/>
              <w:jc w:val="both"/>
            </w:pPr>
            <w:r>
              <w:rPr>
                <w:rFonts w:hint="eastAsia"/>
              </w:rPr>
              <w:t>硬盘：50G（系统盘）+400G</w:t>
            </w:r>
          </w:p>
          <w:p>
            <w:pPr>
              <w:widowControl w:val="0"/>
              <w:jc w:val="both"/>
            </w:pPr>
            <w:r>
              <w:rPr>
                <w:rFonts w:hint="eastAsia"/>
              </w:rPr>
              <w:t>操作系统：Windows Server 2012 R2</w:t>
            </w:r>
            <w:r>
              <w:t xml:space="preserve"> </w:t>
            </w:r>
            <w:r>
              <w:rPr>
                <w:rFonts w:hint="eastAsia"/>
              </w:rPr>
              <w:t>Da</w:t>
            </w:r>
            <w:r>
              <w:t>tacenter</w:t>
            </w:r>
          </w:p>
        </w:tc>
        <w:tc>
          <w:tcPr>
            <w:tcW w:w="2489" w:type="dxa"/>
          </w:tcPr>
          <w:p>
            <w:pPr>
              <w:widowControl w:val="0"/>
              <w:jc w:val="both"/>
            </w:pPr>
            <w:r>
              <w:rPr>
                <w:rFonts w:hint="eastAsia"/>
              </w:rPr>
              <w:t>与其他运政相关信息系统提供数据交互服务。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>
            <w:pPr>
              <w:widowControl w:val="0"/>
              <w:jc w:val="both"/>
            </w:pPr>
            <w:r>
              <w:rPr>
                <w:rFonts w:hint="eastAsia"/>
              </w:rPr>
              <w:t>3</w:t>
            </w:r>
          </w:p>
        </w:tc>
        <w:tc>
          <w:tcPr>
            <w:tcW w:w="1701" w:type="dxa"/>
          </w:tcPr>
          <w:p>
            <w:pPr>
              <w:widowControl w:val="0"/>
              <w:jc w:val="both"/>
            </w:pPr>
            <w:r>
              <w:rPr>
                <w:rFonts w:hint="eastAsia"/>
              </w:rPr>
              <w:t>运政数据库实例</w:t>
            </w:r>
          </w:p>
        </w:tc>
        <w:tc>
          <w:tcPr>
            <w:tcW w:w="3260" w:type="dxa"/>
          </w:tcPr>
          <w:p>
            <w:pPr>
              <w:widowControl w:val="0"/>
              <w:jc w:val="both"/>
            </w:pPr>
            <w:r>
              <w:rPr>
                <w:rFonts w:hint="eastAsia"/>
              </w:rPr>
              <w:t>类型：O</w:t>
            </w:r>
            <w:r>
              <w:t>racle</w:t>
            </w:r>
          </w:p>
          <w:p>
            <w:pPr>
              <w:widowControl w:val="0"/>
              <w:jc w:val="both"/>
            </w:pPr>
            <w:r>
              <w:rPr>
                <w:rFonts w:hint="eastAsia"/>
              </w:rPr>
              <w:t>版本：</w:t>
            </w:r>
            <w:r>
              <w:t>Oracle Database 11g Enterprise Edition Release 11.2.0.4.0</w:t>
            </w:r>
          </w:p>
        </w:tc>
        <w:tc>
          <w:tcPr>
            <w:tcW w:w="2489" w:type="dxa"/>
          </w:tcPr>
          <w:p>
            <w:pPr>
              <w:widowControl w:val="0"/>
              <w:jc w:val="both"/>
            </w:pPr>
            <w:r>
              <w:rPr>
                <w:rFonts w:hint="eastAsia"/>
              </w:rPr>
              <w:t>为运政信息系统提供数据库服务。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>
            <w:pPr>
              <w:widowControl w:val="0"/>
              <w:jc w:val="both"/>
              <w:rPr>
                <w:rFonts w:hint="eastAsia"/>
              </w:rPr>
            </w:pPr>
            <w:r>
              <w:rPr>
                <w:rFonts w:hint="eastAsia"/>
              </w:rPr>
              <w:t>4</w:t>
            </w:r>
          </w:p>
        </w:tc>
        <w:tc>
          <w:tcPr>
            <w:tcW w:w="1701" w:type="dxa"/>
          </w:tcPr>
          <w:p>
            <w:pPr>
              <w:widowControl w:val="0"/>
              <w:jc w:val="both"/>
              <w:rPr>
                <w:rFonts w:hint="eastAsia"/>
              </w:rPr>
            </w:pPr>
            <w:r>
              <w:rPr>
                <w:rFonts w:hint="eastAsia"/>
              </w:rPr>
              <w:t>数据交互数据库实例</w:t>
            </w:r>
          </w:p>
        </w:tc>
        <w:tc>
          <w:tcPr>
            <w:tcW w:w="3260" w:type="dxa"/>
          </w:tcPr>
          <w:p>
            <w:pPr>
              <w:widowControl w:val="0"/>
              <w:jc w:val="both"/>
            </w:pPr>
            <w:r>
              <w:rPr>
                <w:rFonts w:hint="eastAsia"/>
              </w:rPr>
              <w:t>类型：O</w:t>
            </w:r>
            <w:r>
              <w:t>racle</w:t>
            </w:r>
          </w:p>
          <w:p>
            <w:pPr>
              <w:widowControl w:val="0"/>
              <w:jc w:val="both"/>
              <w:rPr>
                <w:rFonts w:hint="eastAsia"/>
              </w:rPr>
            </w:pPr>
            <w:r>
              <w:rPr>
                <w:rFonts w:hint="eastAsia"/>
              </w:rPr>
              <w:t>版本：</w:t>
            </w:r>
            <w:r>
              <w:t>Oracle Database 11g Enterprise Edition Release 11.2.0.4.0</w:t>
            </w:r>
          </w:p>
        </w:tc>
        <w:tc>
          <w:tcPr>
            <w:tcW w:w="2489" w:type="dxa"/>
          </w:tcPr>
          <w:p>
            <w:pPr>
              <w:widowControl w:val="0"/>
              <w:jc w:val="both"/>
              <w:rPr>
                <w:rFonts w:hint="eastAsia"/>
              </w:rPr>
            </w:pPr>
            <w:r>
              <w:rPr>
                <w:rFonts w:hint="eastAsia"/>
              </w:rPr>
              <w:t>为数据交互提供数据库服务。</w:t>
            </w:r>
          </w:p>
        </w:tc>
      </w:tr>
    </w:tbl>
    <w:p/>
    <w:p>
      <w:pPr>
        <w:pStyle w:val="3"/>
        <w:rPr>
          <w:rFonts w:hint="eastAsia"/>
        </w:rPr>
      </w:pPr>
      <w:bookmarkStart w:id="4" w:name="_Toc41716929"/>
      <w:r>
        <w:rPr>
          <w:rFonts w:hint="eastAsia"/>
        </w:rPr>
        <w:t>2.2系统组</w:t>
      </w:r>
      <w:r>
        <w:t>成</w:t>
      </w:r>
      <w:bookmarkEnd w:id="4"/>
    </w:p>
    <w:tbl>
      <w:tblPr>
        <w:tblStyle w:val="14"/>
        <w:tblW w:w="82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70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</w:tcPr>
          <w:p>
            <w:pPr>
              <w:widowControl w:val="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序</w:t>
            </w:r>
            <w:r>
              <w:rPr>
                <w:b/>
              </w:rPr>
              <w:t>号</w:t>
            </w:r>
          </w:p>
        </w:tc>
        <w:tc>
          <w:tcPr>
            <w:tcW w:w="7025" w:type="dxa"/>
          </w:tcPr>
          <w:p>
            <w:pPr>
              <w:widowControl w:val="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系统</w:t>
            </w:r>
            <w:r>
              <w:rPr>
                <w:b/>
              </w:rPr>
              <w:t>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</w:tcPr>
          <w:p>
            <w:pPr>
              <w:widowControl w:val="0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7025" w:type="dxa"/>
          </w:tcPr>
          <w:p>
            <w:pPr>
              <w:widowControl w:val="0"/>
              <w:jc w:val="both"/>
            </w:pPr>
            <w:r>
              <w:rPr>
                <w:rFonts w:hint="eastAsia"/>
              </w:rPr>
              <w:t>龙岩</w:t>
            </w:r>
            <w:r>
              <w:t>市</w:t>
            </w:r>
            <w:r>
              <w:rPr>
                <w:rFonts w:hint="eastAsia"/>
              </w:rPr>
              <w:t>道路运政管理信息系统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</w:tcPr>
          <w:p>
            <w:pPr>
              <w:widowControl w:val="0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7025" w:type="dxa"/>
          </w:tcPr>
          <w:p>
            <w:pPr>
              <w:widowControl w:val="0"/>
              <w:jc w:val="both"/>
            </w:pPr>
            <w:r>
              <w:rPr>
                <w:rFonts w:hint="eastAsia"/>
              </w:rPr>
              <w:t>企</w:t>
            </w:r>
            <w:r>
              <w:t>业</w:t>
            </w:r>
            <w:r>
              <w:rPr>
                <w:rFonts w:hint="eastAsia"/>
              </w:rPr>
              <w:t>系统接</w:t>
            </w:r>
            <w:r>
              <w:t>入服务平台</w:t>
            </w:r>
            <w:r>
              <w:rPr>
                <w:rFonts w:hint="eastAsia"/>
              </w:rPr>
              <w:t>（</w:t>
            </w:r>
            <w:r>
              <w:t>维修、运输</w:t>
            </w:r>
            <w:r>
              <w:rPr>
                <w:rFonts w:hint="eastAsia"/>
              </w:rPr>
              <w:t>、驾</w:t>
            </w:r>
            <w:r>
              <w:t>校、综检</w:t>
            </w:r>
            <w:r>
              <w:rPr>
                <w:rFonts w:hint="eastAsia"/>
              </w:rPr>
              <w:t>及</w:t>
            </w:r>
            <w:r>
              <w:t>从业</w:t>
            </w:r>
            <w:r>
              <w:rPr>
                <w:rFonts w:hint="eastAsia"/>
              </w:rPr>
              <w:t>考试</w:t>
            </w:r>
            <w: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</w:tcPr>
          <w:p>
            <w:pPr>
              <w:widowControl w:val="0"/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7025" w:type="dxa"/>
          </w:tcPr>
          <w:p>
            <w:pPr>
              <w:widowControl w:val="0"/>
              <w:jc w:val="both"/>
            </w:pPr>
            <w:r>
              <w:rPr>
                <w:rFonts w:hint="eastAsia"/>
              </w:rPr>
              <w:t>省运政系统接</w:t>
            </w:r>
            <w:r>
              <w:t>口服务平台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</w:tcPr>
          <w:p>
            <w:pPr>
              <w:widowControl w:val="0"/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7025" w:type="dxa"/>
          </w:tcPr>
          <w:p>
            <w:pPr>
              <w:widowControl w:val="0"/>
              <w:jc w:val="both"/>
            </w:pPr>
            <w:r>
              <w:rPr>
                <w:rFonts w:hint="eastAsia"/>
              </w:rPr>
              <w:t>卫</w:t>
            </w:r>
            <w:r>
              <w:t>星定位系统接口服务平台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</w:tcPr>
          <w:p>
            <w:pPr>
              <w:widowControl w:val="0"/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7025" w:type="dxa"/>
          </w:tcPr>
          <w:p>
            <w:pPr>
              <w:widowControl w:val="0"/>
              <w:jc w:val="both"/>
            </w:pPr>
            <w:r>
              <w:rPr>
                <w:rFonts w:hint="eastAsia"/>
              </w:rPr>
              <w:t>市数字办数据汇聚平台接口</w:t>
            </w:r>
            <w:r>
              <w:t>服务平台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</w:tcPr>
          <w:p>
            <w:pPr>
              <w:widowControl w:val="0"/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7025" w:type="dxa"/>
          </w:tcPr>
          <w:p>
            <w:pPr>
              <w:widowControl w:val="0"/>
              <w:jc w:val="both"/>
            </w:pPr>
            <w:r>
              <w:rPr>
                <w:rFonts w:hint="eastAsia"/>
              </w:rPr>
              <w:t>部汽车电子健康档案系统</w:t>
            </w:r>
            <w:r>
              <w:t>接</w:t>
            </w:r>
            <w:r>
              <w:rPr>
                <w:rFonts w:hint="eastAsia"/>
              </w:rPr>
              <w:t>口</w:t>
            </w:r>
            <w:r>
              <w:t>服务平台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</w:tcPr>
          <w:p>
            <w:pPr>
              <w:widowControl w:val="0"/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7025" w:type="dxa"/>
          </w:tcPr>
          <w:p>
            <w:pPr>
              <w:widowControl w:val="0"/>
              <w:jc w:val="both"/>
              <w:rPr>
                <w:rFonts w:hint="default" w:eastAsia="宋体"/>
                <w:lang w:val="en-US" w:eastAsia="zh-Hans"/>
              </w:rPr>
            </w:pPr>
            <w:r>
              <w:rPr>
                <w:rFonts w:hint="eastAsia"/>
                <w:lang w:val="en-US" w:eastAsia="zh-Hans"/>
              </w:rPr>
              <w:t>省交通电子证照平台</w:t>
            </w:r>
          </w:p>
        </w:tc>
      </w:tr>
    </w:tbl>
    <w:p/>
    <w:p>
      <w:pPr>
        <w:pStyle w:val="3"/>
        <w:rPr>
          <w:rFonts w:hint="eastAsia"/>
        </w:rPr>
      </w:pPr>
      <w:bookmarkStart w:id="5" w:name="_Toc41716930"/>
      <w:r>
        <w:rPr>
          <w:rFonts w:hint="eastAsia"/>
        </w:rPr>
        <w:t>2.3用户组</w:t>
      </w:r>
      <w:r>
        <w:t>成</w:t>
      </w:r>
      <w:bookmarkEnd w:id="5"/>
    </w:p>
    <w:p>
      <w:pPr>
        <w:tabs>
          <w:tab w:val="left" w:pos="1134"/>
          <w:tab w:val="left" w:pos="1276"/>
        </w:tabs>
        <w:spacing w:line="360" w:lineRule="auto"/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全市</w:t>
      </w:r>
      <w:r>
        <w:rPr>
          <w:sz w:val="28"/>
          <w:szCs w:val="28"/>
        </w:rPr>
        <w:t>(含区县所) 行政端用户</w:t>
      </w:r>
      <w:r>
        <w:rPr>
          <w:rFonts w:hint="eastAsia"/>
          <w:sz w:val="28"/>
          <w:szCs w:val="28"/>
        </w:rPr>
        <w:t>共</w:t>
      </w:r>
      <w:r>
        <w:rPr>
          <w:rFonts w:hint="default"/>
          <w:sz w:val="28"/>
          <w:szCs w:val="28"/>
        </w:rPr>
        <w:t>2</w:t>
      </w:r>
      <w:r>
        <w:rPr>
          <w:sz w:val="28"/>
          <w:szCs w:val="28"/>
        </w:rPr>
        <w:t>00</w:t>
      </w:r>
      <w:r>
        <w:rPr>
          <w:rFonts w:hint="eastAsia"/>
          <w:sz w:val="28"/>
          <w:szCs w:val="28"/>
        </w:rPr>
        <w:t>余</w:t>
      </w:r>
      <w:r>
        <w:rPr>
          <w:sz w:val="28"/>
          <w:szCs w:val="28"/>
        </w:rPr>
        <w:t>人，实现全市联网企业约500</w:t>
      </w:r>
      <w:r>
        <w:rPr>
          <w:rFonts w:hint="eastAsia"/>
          <w:sz w:val="28"/>
          <w:szCs w:val="28"/>
        </w:rPr>
        <w:t>多家</w:t>
      </w:r>
      <w:r>
        <w:rPr>
          <w:rFonts w:hint="default"/>
          <w:sz w:val="28"/>
          <w:szCs w:val="28"/>
        </w:rPr>
        <w:t>，</w:t>
      </w:r>
      <w:r>
        <w:rPr>
          <w:rFonts w:hint="eastAsia"/>
          <w:sz w:val="28"/>
          <w:szCs w:val="28"/>
          <w:lang w:val="en-US" w:eastAsia="zh-Hans"/>
        </w:rPr>
        <w:t>全市从业人员e龙岩端用户</w:t>
      </w:r>
      <w:r>
        <w:rPr>
          <w:rFonts w:hint="eastAsia"/>
          <w:sz w:val="28"/>
          <w:szCs w:val="28"/>
        </w:rPr>
        <w:t>，进</w:t>
      </w:r>
      <w:r>
        <w:rPr>
          <w:sz w:val="28"/>
          <w:szCs w:val="28"/>
        </w:rPr>
        <w:t>行业务监管</w:t>
      </w:r>
      <w:r>
        <w:rPr>
          <w:rFonts w:hint="eastAsia"/>
          <w:sz w:val="28"/>
          <w:szCs w:val="28"/>
        </w:rPr>
        <w:t>及</w:t>
      </w:r>
      <w:r>
        <w:rPr>
          <w:sz w:val="28"/>
          <w:szCs w:val="28"/>
        </w:rPr>
        <w:t>业务数据审批等方面，方便企业用户日常业务办理</w:t>
      </w:r>
      <w:r>
        <w:rPr>
          <w:rFonts w:hint="eastAsia"/>
          <w:sz w:val="28"/>
          <w:szCs w:val="28"/>
        </w:rPr>
        <w:t>。</w:t>
      </w:r>
    </w:p>
    <w:p>
      <w:pPr>
        <w:pStyle w:val="3"/>
        <w:rPr>
          <w:rFonts w:hint="eastAsia" w:asciiTheme="minorHAnsi" w:hAnsiTheme="minorHAnsi" w:eastAsiaTheme="minorEastAsia" w:cstheme="minorBidi"/>
          <w:b/>
          <w:kern w:val="44"/>
          <w:sz w:val="44"/>
          <w:szCs w:val="24"/>
          <w:lang w:val="en-US" w:eastAsia="zh-CN" w:bidi="ar-SA"/>
        </w:rPr>
      </w:pPr>
      <w:bookmarkStart w:id="6" w:name="_Toc41716931"/>
      <w:r>
        <w:rPr>
          <w:rFonts w:hint="eastAsia" w:asciiTheme="minorHAnsi" w:hAnsiTheme="minorHAnsi" w:eastAsiaTheme="minorEastAsia" w:cstheme="minorBidi"/>
          <w:b/>
          <w:kern w:val="44"/>
          <w:sz w:val="44"/>
          <w:szCs w:val="24"/>
          <w:lang w:val="en-US" w:eastAsia="zh-CN" w:bidi="ar-SA"/>
        </w:rPr>
        <w:t>3.服务内容</w:t>
      </w:r>
      <w:bookmarkEnd w:id="6"/>
      <w:r>
        <w:rPr>
          <w:rFonts w:hint="eastAsia" w:asciiTheme="minorHAnsi" w:hAnsiTheme="minorHAnsi" w:eastAsiaTheme="minorEastAsia" w:cstheme="minorBidi"/>
          <w:b/>
          <w:kern w:val="44"/>
          <w:sz w:val="44"/>
          <w:szCs w:val="24"/>
          <w:lang w:val="en-US" w:eastAsia="zh-CN" w:bidi="ar-SA"/>
        </w:rPr>
        <w:t>（以下</w:t>
      </w:r>
      <w:r>
        <w:rPr>
          <w:rFonts w:hint="eastAsia" w:asciiTheme="minorHAnsi" w:hAnsiTheme="minorHAnsi" w:eastAsiaTheme="minorEastAsia" w:cstheme="minorBidi"/>
          <w:b/>
          <w:kern w:val="44"/>
          <w:sz w:val="44"/>
          <w:szCs w:val="24"/>
          <w:lang w:val="en-US" w:eastAsia="zh-CN" w:bidi="ar-SA"/>
        </w:rPr>
        <w:t>内容不允许负偏离，否则视为无效投标）</w:t>
      </w:r>
      <w:bookmarkStart w:id="10" w:name="_GoBack"/>
      <w:bookmarkEnd w:id="10"/>
    </w:p>
    <w:p>
      <w:pPr>
        <w:pStyle w:val="3"/>
        <w:rPr>
          <w:rFonts w:hint="eastAsia" w:eastAsia="黑体"/>
          <w:lang w:eastAsia="zh-CN"/>
        </w:rPr>
      </w:pPr>
      <w:bookmarkStart w:id="7" w:name="_Toc41716932"/>
      <w:r>
        <w:rPr>
          <w:rFonts w:hint="eastAsia"/>
        </w:rPr>
        <w:t>3.1</w:t>
      </w:r>
      <w:r>
        <w:t>系统安全服务</w:t>
      </w:r>
      <w:bookmarkEnd w:id="7"/>
    </w:p>
    <w:p>
      <w:pPr>
        <w:rPr>
          <w:sz w:val="28"/>
          <w:szCs w:val="28"/>
        </w:rPr>
      </w:pPr>
      <w:r>
        <w:rPr>
          <w:sz w:val="28"/>
          <w:szCs w:val="28"/>
        </w:rPr>
        <w:t>1</w:t>
      </w:r>
      <w:r>
        <w:rPr>
          <w:rFonts w:hint="eastAsia"/>
          <w:sz w:val="28"/>
          <w:szCs w:val="28"/>
        </w:rPr>
        <w:t>、操作系统安全加固。</w:t>
      </w:r>
    </w:p>
    <w:p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以等级保护基本安全措施为标准，针对操作系统的密码策略、账户锁定策略、日志策略进行设置，关闭不必要的端口和服务。</w:t>
      </w:r>
    </w:p>
    <w:p>
      <w:pPr>
        <w:rPr>
          <w:sz w:val="28"/>
          <w:szCs w:val="28"/>
        </w:rPr>
      </w:pPr>
      <w:r>
        <w:rPr>
          <w:sz w:val="28"/>
          <w:szCs w:val="28"/>
        </w:rPr>
        <w:t>2</w:t>
      </w:r>
      <w:r>
        <w:rPr>
          <w:rFonts w:hint="eastAsia"/>
          <w:sz w:val="28"/>
          <w:szCs w:val="28"/>
        </w:rPr>
        <w:t>、数据库系统安全加固。</w:t>
      </w:r>
    </w:p>
    <w:p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以等级保护基本安全措施为标准，针对O</w:t>
      </w:r>
      <w:r>
        <w:rPr>
          <w:sz w:val="28"/>
          <w:szCs w:val="28"/>
        </w:rPr>
        <w:t>racle</w:t>
      </w:r>
      <w:r>
        <w:rPr>
          <w:rFonts w:hint="eastAsia"/>
          <w:sz w:val="28"/>
          <w:szCs w:val="28"/>
        </w:rPr>
        <w:t>数据库密码策略、账户锁定策略、远程管理设置、审计日志，限制系统资源的异常使用。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3、系统简单安全检查。</w:t>
      </w:r>
    </w:p>
    <w:p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日常巡检操作系统中是否有异常进程、服务、端口。</w:t>
      </w:r>
    </w:p>
    <w:p>
      <w:pPr>
        <w:rPr>
          <w:sz w:val="28"/>
          <w:szCs w:val="28"/>
        </w:rPr>
      </w:pPr>
      <w:r>
        <w:rPr>
          <w:sz w:val="28"/>
          <w:szCs w:val="28"/>
        </w:rPr>
        <w:t>4.</w:t>
      </w:r>
      <w:r>
        <w:rPr>
          <w:rFonts w:hint="eastAsia"/>
          <w:sz w:val="28"/>
          <w:szCs w:val="28"/>
        </w:rPr>
        <w:t>日志审计。</w:t>
      </w:r>
    </w:p>
    <w:p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日常巡检应用软件系统访问日志，以及操作系统的应用程序/安全/系统事件。及时发现系统中存在的问题或者潜在问题，并进行解决或者提出相应的解决方案。</w:t>
      </w:r>
    </w:p>
    <w:p>
      <w:pPr>
        <w:rPr>
          <w:sz w:val="28"/>
          <w:szCs w:val="28"/>
        </w:rPr>
      </w:pPr>
      <w:r>
        <w:rPr>
          <w:sz w:val="28"/>
          <w:szCs w:val="28"/>
        </w:rPr>
        <w:t>5.</w:t>
      </w:r>
      <w:r>
        <w:rPr>
          <w:rFonts w:hint="eastAsia"/>
          <w:sz w:val="28"/>
          <w:szCs w:val="28"/>
        </w:rPr>
        <w:t>入侵防范。</w:t>
      </w:r>
    </w:p>
    <w:p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因为目前使用的Win2008操作系统微软已经停止支持，仅有紧急补丁无日常补丁，Oracle数据库系统没授权无法下载补丁，目前只是关注微软发布的紧急漏洞信息，及时应用紧急漏洞补丁。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6</w:t>
      </w:r>
      <w:r>
        <w:rPr>
          <w:sz w:val="28"/>
          <w:szCs w:val="28"/>
        </w:rPr>
        <w:t>.</w:t>
      </w:r>
      <w:r>
        <w:rPr>
          <w:rFonts w:hint="eastAsia"/>
          <w:sz w:val="28"/>
          <w:szCs w:val="28"/>
        </w:rPr>
        <w:t xml:space="preserve"> 恶意代码防范。</w:t>
      </w:r>
    </w:p>
    <w:p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有安装早期版本的破解版服务器杀毒软件，日常更新病毒库，并对服务器进行病毒扫描。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7</w:t>
      </w:r>
      <w:r>
        <w:rPr>
          <w:sz w:val="28"/>
          <w:szCs w:val="28"/>
        </w:rPr>
        <w:t>.</w:t>
      </w:r>
      <w:r>
        <w:rPr>
          <w:rFonts w:hint="eastAsia"/>
          <w:sz w:val="28"/>
          <w:szCs w:val="28"/>
        </w:rPr>
        <w:t>操作系统优化。</w:t>
      </w:r>
    </w:p>
    <w:p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根据运行情况调整，定期清理垃圾和整理磁盘。</w:t>
      </w:r>
    </w:p>
    <w:p>
      <w:pPr>
        <w:rPr>
          <w:sz w:val="28"/>
          <w:szCs w:val="28"/>
        </w:rPr>
      </w:pPr>
      <w:r>
        <w:rPr>
          <w:sz w:val="28"/>
          <w:szCs w:val="28"/>
        </w:rPr>
        <w:t>8.</w:t>
      </w:r>
      <w:r>
        <w:rPr>
          <w:rFonts w:hint="eastAsia"/>
          <w:sz w:val="28"/>
          <w:szCs w:val="28"/>
        </w:rPr>
        <w:t>数据库系统优化。</w:t>
      </w:r>
    </w:p>
    <w:p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定期分析运行情况并调整数据库参数，整理数据碎片等，使之可以更好地响应应用软件系统的请求。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9</w:t>
      </w:r>
      <w:r>
        <w:rPr>
          <w:sz w:val="28"/>
          <w:szCs w:val="28"/>
        </w:rPr>
        <w:t>.</w:t>
      </w:r>
      <w:r>
        <w:rPr>
          <w:rFonts w:hint="eastAsia"/>
          <w:sz w:val="28"/>
          <w:szCs w:val="28"/>
        </w:rPr>
        <w:t>备份和恢复。</w:t>
      </w:r>
    </w:p>
    <w:p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每日对数据库进行备份，并检查备份结果。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1</w:t>
      </w:r>
      <w:r>
        <w:rPr>
          <w:sz w:val="28"/>
          <w:szCs w:val="28"/>
        </w:rPr>
        <w:t>0.</w:t>
      </w:r>
      <w:r>
        <w:rPr>
          <w:rFonts w:hint="eastAsia"/>
          <w:sz w:val="28"/>
          <w:szCs w:val="28"/>
        </w:rPr>
        <w:t>系统健康状态检查。</w:t>
      </w:r>
    </w:p>
    <w:p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定期查看处理器、内存、硬盘、网络带宽使用情况。</w:t>
      </w:r>
    </w:p>
    <w:p>
      <w:pPr>
        <w:rPr>
          <w:sz w:val="28"/>
          <w:szCs w:val="28"/>
        </w:rPr>
      </w:pPr>
      <w:r>
        <w:rPr>
          <w:sz w:val="28"/>
          <w:szCs w:val="28"/>
        </w:rPr>
        <w:t>11.</w:t>
      </w:r>
      <w:r>
        <w:rPr>
          <w:rFonts w:hint="eastAsia"/>
          <w:sz w:val="28"/>
          <w:szCs w:val="28"/>
        </w:rPr>
        <w:t>硬件故障响应。</w:t>
      </w:r>
    </w:p>
    <w:p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紧急情况下按机房管理单位通知进行处理，配合机房管理单位处理应急情况。</w:t>
      </w:r>
    </w:p>
    <w:p>
      <w:pPr>
        <w:pStyle w:val="3"/>
      </w:pPr>
      <w:bookmarkStart w:id="8" w:name="_Toc41716933"/>
      <w:r>
        <w:rPr>
          <w:rFonts w:hint="eastAsia"/>
        </w:rPr>
        <w:t>3.2系统</w:t>
      </w:r>
      <w:r>
        <w:t>日常服务</w:t>
      </w:r>
      <w:bookmarkEnd w:id="8"/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    1</w:t>
      </w:r>
      <w:r>
        <w:rPr>
          <w:rFonts w:hint="eastAsia"/>
          <w:sz w:val="28"/>
          <w:szCs w:val="28"/>
        </w:rPr>
        <w:t>、</w:t>
      </w:r>
      <w:r>
        <w:rPr>
          <w:sz w:val="28"/>
          <w:szCs w:val="28"/>
        </w:rPr>
        <w:t>“</w:t>
      </w:r>
      <w:r>
        <w:rPr>
          <w:rFonts w:hint="eastAsia"/>
          <w:sz w:val="28"/>
          <w:szCs w:val="28"/>
        </w:rPr>
        <w:t>龙岩市道路运政管理信息系统</w:t>
      </w:r>
      <w:r>
        <w:rPr>
          <w:sz w:val="28"/>
          <w:szCs w:val="28"/>
        </w:rPr>
        <w:t>”行政端应用（包括</w:t>
      </w:r>
      <w:r>
        <w:rPr>
          <w:rFonts w:hint="eastAsia"/>
          <w:sz w:val="28"/>
          <w:szCs w:val="28"/>
        </w:rPr>
        <w:t>市</w:t>
      </w:r>
      <w:r>
        <w:rPr>
          <w:sz w:val="28"/>
          <w:szCs w:val="28"/>
        </w:rPr>
        <w:t>县各科室）所提供技术咨询服务、培训、现场指导等；</w:t>
      </w:r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    2、系统网络远程、电话或上门技术支持与服务；</w:t>
      </w:r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    3、在系统原有需求上的程序修补及升级（不含新需求、新模块、新系统）；</w:t>
      </w:r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    4、系统应急处置与出现异常问题(如断电、服务器异常等)所需要提供的技术支持与服务；</w:t>
      </w:r>
    </w:p>
    <w:p>
      <w:pPr>
        <w:ind w:firstLine="480"/>
        <w:rPr>
          <w:sz w:val="28"/>
          <w:szCs w:val="28"/>
        </w:rPr>
      </w:pPr>
      <w:r>
        <w:rPr>
          <w:sz w:val="28"/>
          <w:szCs w:val="28"/>
        </w:rPr>
        <w:t>5、提供“</w:t>
      </w:r>
      <w:r>
        <w:rPr>
          <w:rFonts w:hint="eastAsia"/>
          <w:sz w:val="28"/>
          <w:szCs w:val="28"/>
        </w:rPr>
        <w:t>龙岩市道路运政管理信息系统</w:t>
      </w:r>
      <w:r>
        <w:rPr>
          <w:sz w:val="28"/>
          <w:szCs w:val="28"/>
        </w:rPr>
        <w:t>”数据库与应用服务器日常维护管理及数据备份工作</w:t>
      </w:r>
      <w:r>
        <w:rPr>
          <w:rFonts w:hint="eastAsia"/>
          <w:sz w:val="28"/>
          <w:szCs w:val="28"/>
        </w:rPr>
        <w:t>;</w:t>
      </w:r>
    </w:p>
    <w:p>
      <w:pPr>
        <w:ind w:firstLine="480"/>
        <w:rPr>
          <w:rFonts w:hint="eastAsia"/>
          <w:sz w:val="28"/>
          <w:szCs w:val="28"/>
        </w:rPr>
      </w:pPr>
      <w:r>
        <w:rPr>
          <w:sz w:val="28"/>
          <w:szCs w:val="28"/>
        </w:rPr>
        <w:t>6</w:t>
      </w:r>
      <w:r>
        <w:rPr>
          <w:rFonts w:hint="eastAsia"/>
          <w:sz w:val="28"/>
          <w:szCs w:val="28"/>
        </w:rPr>
        <w:t>、</w:t>
      </w:r>
      <w:r>
        <w:rPr>
          <w:sz w:val="28"/>
          <w:szCs w:val="28"/>
        </w:rPr>
        <w:t>提供对</w:t>
      </w:r>
      <w:r>
        <w:rPr>
          <w:rFonts w:hint="eastAsia"/>
          <w:sz w:val="28"/>
          <w:szCs w:val="28"/>
        </w:rPr>
        <w:t>已有的外部接口服务的日常维护，确保数据能够正常交互;</w:t>
      </w:r>
    </w:p>
    <w:p>
      <w:pPr>
        <w:ind w:firstLine="480"/>
        <w:rPr>
          <w:rFonts w:hint="eastAsia"/>
          <w:sz w:val="28"/>
          <w:szCs w:val="28"/>
        </w:rPr>
      </w:pPr>
      <w:r>
        <w:rPr>
          <w:sz w:val="28"/>
          <w:szCs w:val="28"/>
        </w:rPr>
        <w:t>7、重大活动期间，按照上级有关网络安全的规定，提供网络及信息系统安全应急值班值守服务，按照规定对“</w:t>
      </w:r>
      <w:r>
        <w:rPr>
          <w:rFonts w:hint="eastAsia"/>
          <w:sz w:val="28"/>
          <w:szCs w:val="28"/>
          <w:lang w:eastAsia="zh-CN"/>
        </w:rPr>
        <w:t>龙岩市</w:t>
      </w:r>
      <w:r>
        <w:rPr>
          <w:sz w:val="28"/>
          <w:szCs w:val="28"/>
        </w:rPr>
        <w:t>道路运政管理信息系统”进行监测，并负责信息系统应急处置;</w:t>
      </w:r>
    </w:p>
    <w:p>
      <w:pPr>
        <w:ind w:firstLine="48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8、</w:t>
      </w:r>
      <w:r>
        <w:rPr>
          <w:sz w:val="28"/>
          <w:szCs w:val="28"/>
        </w:rPr>
        <w:t>信息化建</w:t>
      </w:r>
      <w:r>
        <w:rPr>
          <w:rFonts w:hint="eastAsia"/>
          <w:sz w:val="28"/>
          <w:szCs w:val="28"/>
        </w:rPr>
        <w:t>设咨询</w:t>
      </w:r>
      <w:r>
        <w:rPr>
          <w:sz w:val="28"/>
          <w:szCs w:val="28"/>
        </w:rPr>
        <w:t>服务</w:t>
      </w:r>
      <w:r>
        <w:rPr>
          <w:rFonts w:hint="eastAsia"/>
          <w:sz w:val="28"/>
          <w:szCs w:val="28"/>
        </w:rPr>
        <w:t>及建议等</w:t>
      </w:r>
      <w:r>
        <w:rPr>
          <w:sz w:val="28"/>
          <w:szCs w:val="28"/>
        </w:rPr>
        <w:t>。</w:t>
      </w:r>
    </w:p>
    <w:p>
      <w:pPr>
        <w:pStyle w:val="3"/>
        <w:rPr>
          <w:rFonts w:hint="eastAsia"/>
        </w:rPr>
      </w:pPr>
      <w:bookmarkStart w:id="9" w:name="_Toc41716934"/>
      <w:r>
        <w:rPr>
          <w:rFonts w:hint="eastAsia"/>
        </w:rPr>
        <w:t>3.3服务响应保障</w:t>
      </w:r>
      <w:bookmarkEnd w:id="9"/>
    </w:p>
    <w:p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保证运维服务将以高标准、高质量为原则，快速为用户提供服务。服务方法将采用电话沟通、网络远程诊断、上门现场解决三种方式结合处理；各用户使用软件系统过程中出现的问题，首先采用电话及网上远程维护进行解决，远程维护无法解决问题的，指派专业技术人员上门服务。解决问题的承诺时限为：在接到甲方通知后</w:t>
      </w:r>
      <w:r>
        <w:rPr>
          <w:sz w:val="28"/>
          <w:szCs w:val="28"/>
        </w:rPr>
        <w:t>2小时以内响应，4小时内进行远程或到场维护，24小时内排除故障。24小时内无法排除故障的，提出相应解决方案，经</w:t>
      </w:r>
      <w:r>
        <w:rPr>
          <w:rFonts w:hint="eastAsia"/>
          <w:sz w:val="28"/>
          <w:szCs w:val="28"/>
        </w:rPr>
        <w:t>服务</w:t>
      </w:r>
      <w:r>
        <w:rPr>
          <w:sz w:val="28"/>
          <w:szCs w:val="28"/>
        </w:rPr>
        <w:t>购</w:t>
      </w:r>
      <w:r>
        <w:rPr>
          <w:rFonts w:hint="eastAsia"/>
          <w:sz w:val="28"/>
          <w:szCs w:val="28"/>
        </w:rPr>
        <w:t>买</w:t>
      </w:r>
      <w:r>
        <w:rPr>
          <w:sz w:val="28"/>
          <w:szCs w:val="28"/>
        </w:rPr>
        <w:t>方同意后付诸具体实施。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728636285"/>
    </w:sdtPr>
    <w:sdtContent>
      <w:p>
        <w:pPr>
          <w:pStyle w:val="7"/>
          <w:jc w:val="center"/>
        </w:pPr>
        <w:r>
          <w:rPr>
            <w:lang w:val="zh-CN"/>
          </w:rPr>
          <w:t xml:space="preserve"> </w:t>
        </w:r>
        <w:r>
          <w:rPr>
            <w:b/>
            <w:bCs/>
            <w:sz w:val="24"/>
          </w:rPr>
          <w:fldChar w:fldCharType="begin"/>
        </w:r>
        <w:r>
          <w:rPr>
            <w:b/>
            <w:bCs/>
          </w:rPr>
          <w:instrText xml:space="preserve">PAGE</w:instrText>
        </w:r>
        <w:r>
          <w:rPr>
            <w:b/>
            <w:bCs/>
            <w:sz w:val="24"/>
          </w:rPr>
          <w:fldChar w:fldCharType="separate"/>
        </w:r>
        <w:r>
          <w:rPr>
            <w:b/>
            <w:bCs/>
          </w:rPr>
          <w:t>7</w:t>
        </w:r>
        <w:r>
          <w:rPr>
            <w:b/>
            <w:bCs/>
            <w:sz w:val="24"/>
          </w:rPr>
          <w:fldChar w:fldCharType="end"/>
        </w:r>
        <w:r>
          <w:rPr>
            <w:lang w:val="zh-CN"/>
          </w:rPr>
          <w:t xml:space="preserve"> / </w:t>
        </w:r>
        <w:r>
          <w:rPr>
            <w:b/>
            <w:bCs/>
            <w:sz w:val="24"/>
          </w:rPr>
          <w:fldChar w:fldCharType="begin"/>
        </w:r>
        <w:r>
          <w:rPr>
            <w:b/>
            <w:bCs/>
          </w:rPr>
          <w:instrText xml:space="preserve">NUMPAGES</w:instrText>
        </w:r>
        <w:r>
          <w:rPr>
            <w:b/>
            <w:bCs/>
            <w:sz w:val="24"/>
          </w:rPr>
          <w:fldChar w:fldCharType="separate"/>
        </w:r>
        <w:r>
          <w:rPr>
            <w:b/>
            <w:bCs/>
          </w:rPr>
          <w:t>7</w:t>
        </w:r>
        <w:r>
          <w:rPr>
            <w:b/>
            <w:bCs/>
            <w:sz w:val="24"/>
          </w:rPr>
          <w:fldChar w:fldCharType="end"/>
        </w:r>
      </w:p>
    </w:sdtContent>
  </w:sdt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515CCD"/>
    <w:multiLevelType w:val="multilevel"/>
    <w:tmpl w:val="54515CCD"/>
    <w:lvl w:ilvl="0" w:tentative="0">
      <w:start w:val="1"/>
      <w:numFmt w:val="decimal"/>
      <w:lvlText w:val="%1."/>
      <w:lvlJc w:val="left"/>
      <w:pPr>
        <w:ind w:left="460" w:hanging="4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1C9"/>
    <w:rsid w:val="00080765"/>
    <w:rsid w:val="00157E27"/>
    <w:rsid w:val="00211DCE"/>
    <w:rsid w:val="002511C9"/>
    <w:rsid w:val="003C5219"/>
    <w:rsid w:val="00607A0F"/>
    <w:rsid w:val="00662A4D"/>
    <w:rsid w:val="006E1008"/>
    <w:rsid w:val="00737EBE"/>
    <w:rsid w:val="0075311A"/>
    <w:rsid w:val="00792020"/>
    <w:rsid w:val="007B3914"/>
    <w:rsid w:val="0084429E"/>
    <w:rsid w:val="00850402"/>
    <w:rsid w:val="008A5AC2"/>
    <w:rsid w:val="008B229E"/>
    <w:rsid w:val="00903C87"/>
    <w:rsid w:val="00945207"/>
    <w:rsid w:val="009479C8"/>
    <w:rsid w:val="00995D4C"/>
    <w:rsid w:val="009B6D24"/>
    <w:rsid w:val="009E0B39"/>
    <w:rsid w:val="00A4206B"/>
    <w:rsid w:val="00A84445"/>
    <w:rsid w:val="00AA4FA5"/>
    <w:rsid w:val="00AE40B9"/>
    <w:rsid w:val="00B664AA"/>
    <w:rsid w:val="00B9788F"/>
    <w:rsid w:val="00BB4915"/>
    <w:rsid w:val="00BE4783"/>
    <w:rsid w:val="00BF2438"/>
    <w:rsid w:val="00C61997"/>
    <w:rsid w:val="00DE4219"/>
    <w:rsid w:val="00E471DD"/>
    <w:rsid w:val="00F27E6B"/>
    <w:rsid w:val="00F710B4"/>
    <w:rsid w:val="00F90C80"/>
    <w:rsid w:val="00FC1AF8"/>
    <w:rsid w:val="00FD2536"/>
    <w:rsid w:val="0BE75ABE"/>
    <w:rsid w:val="3BDF92E9"/>
    <w:rsid w:val="57DF44A7"/>
    <w:rsid w:val="5F105287"/>
    <w:rsid w:val="6395159C"/>
    <w:rsid w:val="77E571A5"/>
    <w:rsid w:val="7E650835"/>
    <w:rsid w:val="7FE13C5C"/>
    <w:rsid w:val="BEED9988"/>
    <w:rsid w:val="BF744240"/>
    <w:rsid w:val="DBFDE11E"/>
    <w:rsid w:val="DEFE7793"/>
    <w:rsid w:val="EFFF6F6B"/>
    <w:rsid w:val="FBD63EF3"/>
    <w:rsid w:val="FFED7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宋体" w:hAnsi="宋体" w:eastAsia="宋体" w:cs="宋体"/>
      <w:kern w:val="0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link w:val="17"/>
    <w:qFormat/>
    <w:uiPriority w:val="0"/>
    <w:pPr>
      <w:keepNext/>
      <w:keepLines/>
      <w:widowControl w:val="0"/>
      <w:spacing w:before="340" w:after="330" w:line="576" w:lineRule="auto"/>
      <w:jc w:val="both"/>
      <w:outlineLvl w:val="0"/>
    </w:pPr>
    <w:rPr>
      <w:rFonts w:asciiTheme="minorHAnsi" w:hAnsiTheme="minorHAnsi" w:eastAsiaTheme="minorEastAsia" w:cstheme="minorBidi"/>
      <w:b/>
      <w:kern w:val="44"/>
      <w:sz w:val="44"/>
    </w:rPr>
  </w:style>
  <w:style w:type="paragraph" w:styleId="3">
    <w:name w:val="heading 2"/>
    <w:basedOn w:val="1"/>
    <w:next w:val="1"/>
    <w:link w:val="18"/>
    <w:unhideWhenUsed/>
    <w:qFormat/>
    <w:uiPriority w:val="0"/>
    <w:pPr>
      <w:keepNext/>
      <w:keepLines/>
      <w:widowControl w:val="0"/>
      <w:spacing w:before="260" w:after="260" w:line="413" w:lineRule="auto"/>
      <w:jc w:val="both"/>
      <w:outlineLvl w:val="1"/>
    </w:pPr>
    <w:rPr>
      <w:rFonts w:ascii="Arial" w:hAnsi="Arial" w:eastAsia="黑体" w:cstheme="minorBidi"/>
      <w:b/>
      <w:kern w:val="2"/>
      <w:sz w:val="32"/>
    </w:rPr>
  </w:style>
  <w:style w:type="paragraph" w:styleId="4">
    <w:name w:val="heading 3"/>
    <w:basedOn w:val="1"/>
    <w:next w:val="1"/>
    <w:link w:val="19"/>
    <w:unhideWhenUsed/>
    <w:qFormat/>
    <w:uiPriority w:val="0"/>
    <w:pPr>
      <w:keepNext/>
      <w:keepLines/>
      <w:widowControl w:val="0"/>
      <w:spacing w:before="260" w:after="260" w:line="413" w:lineRule="auto"/>
      <w:jc w:val="both"/>
      <w:outlineLvl w:val="2"/>
    </w:pPr>
    <w:rPr>
      <w:rFonts w:asciiTheme="minorHAnsi" w:hAnsiTheme="minorHAnsi" w:eastAsiaTheme="minorEastAsia" w:cstheme="minorBidi"/>
      <w:b/>
      <w:kern w:val="2"/>
      <w:sz w:val="32"/>
    </w:rPr>
  </w:style>
  <w:style w:type="paragraph" w:styleId="5">
    <w:name w:val="heading 4"/>
    <w:basedOn w:val="1"/>
    <w:next w:val="1"/>
    <w:link w:val="20"/>
    <w:unhideWhenUsed/>
    <w:qFormat/>
    <w:uiPriority w:val="0"/>
    <w:pPr>
      <w:keepNext/>
      <w:keepLines/>
      <w:widowControl w:val="0"/>
      <w:spacing w:before="280" w:after="290" w:line="372" w:lineRule="auto"/>
      <w:jc w:val="both"/>
      <w:outlineLvl w:val="3"/>
    </w:pPr>
    <w:rPr>
      <w:rFonts w:ascii="Arial" w:hAnsi="Arial" w:eastAsia="黑体" w:cstheme="minorBidi"/>
      <w:b/>
      <w:kern w:val="2"/>
      <w:sz w:val="28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toc 3"/>
    <w:basedOn w:val="1"/>
    <w:next w:val="1"/>
    <w:qFormat/>
    <w:uiPriority w:val="39"/>
    <w:pPr>
      <w:tabs>
        <w:tab w:val="right" w:leader="dot" w:pos="8296"/>
      </w:tabs>
      <w:ind w:left="960" w:leftChars="400"/>
    </w:pPr>
  </w:style>
  <w:style w:type="paragraph" w:styleId="7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8">
    <w:name w:val="header"/>
    <w:basedOn w:val="1"/>
    <w:link w:val="15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toc 1"/>
    <w:basedOn w:val="1"/>
    <w:next w:val="1"/>
    <w:qFormat/>
    <w:uiPriority w:val="39"/>
    <w:pPr>
      <w:widowControl w:val="0"/>
      <w:spacing w:line="360" w:lineRule="auto"/>
      <w:jc w:val="both"/>
    </w:pPr>
    <w:rPr>
      <w:rFonts w:ascii="Times New Roman" w:hAnsi="Times New Roman" w:cs="Times New Roman"/>
      <w:kern w:val="2"/>
    </w:rPr>
  </w:style>
  <w:style w:type="paragraph" w:styleId="10">
    <w:name w:val="toc 2"/>
    <w:basedOn w:val="1"/>
    <w:next w:val="1"/>
    <w:qFormat/>
    <w:uiPriority w:val="39"/>
    <w:pPr>
      <w:widowControl w:val="0"/>
      <w:ind w:left="420" w:leftChars="200"/>
      <w:jc w:val="both"/>
    </w:pPr>
    <w:rPr>
      <w:rFonts w:asciiTheme="minorHAnsi" w:hAnsiTheme="minorHAnsi" w:eastAsiaTheme="minorEastAsia" w:cstheme="minorBidi"/>
      <w:kern w:val="2"/>
      <w:sz w:val="21"/>
    </w:rPr>
  </w:style>
  <w:style w:type="character" w:styleId="12">
    <w:name w:val="Hyperlink"/>
    <w:qFormat/>
    <w:uiPriority w:val="99"/>
    <w:rPr>
      <w:color w:val="0000FF"/>
      <w:u w:val="single"/>
    </w:rPr>
  </w:style>
  <w:style w:type="table" w:styleId="14">
    <w:name w:val="Table Grid"/>
    <w:basedOn w:val="1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15">
    <w:name w:val="页眉 Char"/>
    <w:basedOn w:val="11"/>
    <w:link w:val="8"/>
    <w:qFormat/>
    <w:uiPriority w:val="99"/>
    <w:rPr>
      <w:sz w:val="18"/>
      <w:szCs w:val="18"/>
    </w:rPr>
  </w:style>
  <w:style w:type="character" w:customStyle="1" w:styleId="16">
    <w:name w:val="页脚 Char"/>
    <w:basedOn w:val="11"/>
    <w:link w:val="7"/>
    <w:qFormat/>
    <w:uiPriority w:val="99"/>
    <w:rPr>
      <w:sz w:val="18"/>
      <w:szCs w:val="18"/>
    </w:rPr>
  </w:style>
  <w:style w:type="character" w:customStyle="1" w:styleId="17">
    <w:name w:val="标题 1 Char"/>
    <w:basedOn w:val="11"/>
    <w:link w:val="2"/>
    <w:qFormat/>
    <w:uiPriority w:val="0"/>
    <w:rPr>
      <w:b/>
      <w:kern w:val="44"/>
      <w:sz w:val="44"/>
      <w:szCs w:val="24"/>
    </w:rPr>
  </w:style>
  <w:style w:type="character" w:customStyle="1" w:styleId="18">
    <w:name w:val="标题 2 Char"/>
    <w:basedOn w:val="11"/>
    <w:link w:val="3"/>
    <w:qFormat/>
    <w:uiPriority w:val="0"/>
    <w:rPr>
      <w:rFonts w:ascii="Arial" w:hAnsi="Arial" w:eastAsia="黑体"/>
      <w:b/>
      <w:sz w:val="32"/>
      <w:szCs w:val="24"/>
    </w:rPr>
  </w:style>
  <w:style w:type="character" w:customStyle="1" w:styleId="19">
    <w:name w:val="标题 3 Char"/>
    <w:basedOn w:val="11"/>
    <w:link w:val="4"/>
    <w:qFormat/>
    <w:uiPriority w:val="0"/>
    <w:rPr>
      <w:b/>
      <w:sz w:val="32"/>
      <w:szCs w:val="24"/>
    </w:rPr>
  </w:style>
  <w:style w:type="character" w:customStyle="1" w:styleId="20">
    <w:name w:val="标题 4 Char"/>
    <w:basedOn w:val="11"/>
    <w:link w:val="5"/>
    <w:qFormat/>
    <w:uiPriority w:val="0"/>
    <w:rPr>
      <w:rFonts w:ascii="Arial" w:hAnsi="Arial" w:eastAsia="黑体"/>
      <w:b/>
      <w:sz w:val="28"/>
      <w:szCs w:val="24"/>
    </w:rPr>
  </w:style>
  <w:style w:type="paragraph" w:customStyle="1" w:styleId="21">
    <w:name w:val="正文模版"/>
    <w:basedOn w:val="1"/>
    <w:qFormat/>
    <w:uiPriority w:val="0"/>
    <w:pPr>
      <w:widowControl w:val="0"/>
      <w:spacing w:line="360" w:lineRule="auto"/>
      <w:ind w:firstLine="480" w:firstLineChars="200"/>
      <w:jc w:val="both"/>
    </w:pPr>
    <w:rPr>
      <w:rFonts w:cs="Times New Roman"/>
      <w:kern w:val="2"/>
      <w:szCs w:val="21"/>
    </w:rPr>
  </w:style>
  <w:style w:type="paragraph" w:customStyle="1" w:styleId="22">
    <w:name w:val="p0"/>
    <w:basedOn w:val="1"/>
    <w:qFormat/>
    <w:uiPriority w:val="0"/>
    <w:pPr>
      <w:jc w:val="both"/>
    </w:pPr>
    <w:rPr>
      <w:rFonts w:ascii="Calibri" w:hAnsi="Calibri"/>
      <w:sz w:val="21"/>
      <w:szCs w:val="21"/>
    </w:rPr>
  </w:style>
  <w:style w:type="character" w:customStyle="1" w:styleId="23">
    <w:name w:val="列出段落 Char"/>
    <w:qFormat/>
    <w:uiPriority w:val="0"/>
    <w:rPr>
      <w:rFonts w:ascii="宋体" w:hAnsi="宋体"/>
      <w:b/>
      <w:kern w:val="2"/>
      <w:sz w:val="52"/>
      <w:szCs w:val="52"/>
    </w:rPr>
  </w:style>
  <w:style w:type="paragraph" w:customStyle="1" w:styleId="24">
    <w:name w:val="表格内容"/>
    <w:qFormat/>
    <w:uiPriority w:val="0"/>
    <w:pPr>
      <w:spacing w:beforeLines="20" w:afterLines="20"/>
    </w:pPr>
    <w:rPr>
      <w:rFonts w:ascii="Times New Roman" w:hAnsi="Times New Roman" w:eastAsia="宋体" w:cs="Times New Roman"/>
      <w:kern w:val="0"/>
      <w:sz w:val="24"/>
      <w:szCs w:val="24"/>
      <w:lang w:val="en-US" w:eastAsia="zh-CN" w:bidi="ar-SA"/>
    </w:rPr>
  </w:style>
  <w:style w:type="paragraph" w:customStyle="1" w:styleId="25">
    <w:name w:val="p21"/>
    <w:basedOn w:val="1"/>
    <w:qFormat/>
    <w:uiPriority w:val="0"/>
    <w:pPr>
      <w:ind w:left="425"/>
      <w:jc w:val="both"/>
    </w:pPr>
    <w:rPr>
      <w:rFonts w:ascii="Times New Roman" w:hAnsi="Times New Roman" w:cs="Times New Roman"/>
    </w:rPr>
  </w:style>
  <w:style w:type="paragraph" w:styleId="26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xunfasoft</Company>
  <Pages>7</Pages>
  <Words>466</Words>
  <Characters>2662</Characters>
  <Lines>22</Lines>
  <Paragraphs>6</Paragraphs>
  <TotalTime>3</TotalTime>
  <ScaleCrop>false</ScaleCrop>
  <LinksUpToDate>false</LinksUpToDate>
  <CharactersWithSpaces>3122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2020-05-29T21:28:00Z</dcterms:created>
  <dc:creator>hujinshui</dc:creator>
  <cp:lastModifiedBy>Administrator</cp:lastModifiedBy>
  <dcterms:modified xsi:type="dcterms:W3CDTF">2026-09-14T01:56:06Z</dcterms:modified>
  <cp:revision>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  <property fmtid="{D5CDD505-2E9C-101B-9397-08002B2CF9AE}" pid="3" name="ICV">
    <vt:lpwstr>2DD94775B9504493BF29E86496E1A2A0_42</vt:lpwstr>
  </property>
</Properties>
</file>