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40" w:lineRule="auto"/>
        <w:ind w:left="0" w:leftChars="0" w:firstLine="0" w:firstLineChars="0"/>
        <w:jc w:val="center"/>
        <w:outlineLvl w:val="0"/>
        <w:rPr>
          <w:rFonts w:hint="eastAsia" w:ascii="黑体" w:hAnsi="黑体" w:eastAsia="黑体" w:cs="黑体"/>
          <w:color w:val="000000"/>
          <w:sz w:val="44"/>
          <w:szCs w:val="44"/>
        </w:rPr>
      </w:pPr>
      <w:bookmarkStart w:id="0" w:name="_Toc13402"/>
      <w:bookmarkStart w:id="1" w:name="_Toc19515"/>
      <w:bookmarkStart w:id="2" w:name="_Toc30029"/>
      <w:bookmarkStart w:id="3" w:name="_Toc19346"/>
      <w:bookmarkStart w:id="4" w:name="_Toc5266"/>
      <w:bookmarkStart w:id="5" w:name="_Toc20405"/>
      <w:bookmarkStart w:id="6" w:name="_Toc2313"/>
      <w:bookmarkStart w:id="7" w:name="_Toc5415"/>
      <w:r>
        <w:rPr>
          <w:rFonts w:hint="eastAsia" w:ascii="黑体" w:hAnsi="黑体" w:eastAsia="黑体" w:cs="黑体"/>
          <w:color w:val="000000"/>
          <w:sz w:val="44"/>
          <w:szCs w:val="44"/>
        </w:rPr>
        <w:t>福建省一体化大融合</w:t>
      </w:r>
      <w:r>
        <w:rPr>
          <w:rFonts w:hint="eastAsia" w:ascii="黑体" w:hAnsi="黑体" w:eastAsia="黑体" w:cs="黑体"/>
          <w:color w:val="000000"/>
          <w:sz w:val="44"/>
          <w:szCs w:val="44"/>
        </w:rPr>
        <w:t>行政</w:t>
      </w:r>
      <w:r>
        <w:rPr>
          <w:rFonts w:hint="eastAsia" w:ascii="黑体" w:hAnsi="黑体" w:eastAsia="黑体" w:cs="黑体"/>
          <w:color w:val="000000"/>
          <w:sz w:val="44"/>
          <w:szCs w:val="44"/>
        </w:rPr>
        <w:t>执法平台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pStyle w:val="2"/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黑体" w:hAnsi="黑体" w:eastAsia="黑体" w:cs="黑体"/>
          <w:color w:val="000000"/>
          <w:sz w:val="44"/>
          <w:szCs w:val="44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color w:val="000000"/>
          <w:sz w:val="44"/>
          <w:szCs w:val="44"/>
        </w:rPr>
      </w:pPr>
    </w:p>
    <w:p>
      <w:pPr>
        <w:pStyle w:val="2"/>
        <w:ind w:left="0" w:leftChars="0" w:firstLine="0" w:firstLineChars="0"/>
        <w:jc w:val="center"/>
        <w:rPr>
          <w:rFonts w:hint="eastAsia" w:ascii="黑体" w:hAnsi="黑体" w:eastAsia="黑体" w:cs="黑体"/>
          <w:color w:val="000000"/>
          <w:sz w:val="44"/>
          <w:szCs w:val="44"/>
        </w:rPr>
      </w:pPr>
    </w:p>
    <w:p>
      <w:pPr>
        <w:ind w:firstLine="0" w:firstLineChars="0"/>
        <w:jc w:val="center"/>
        <w:outlineLvl w:val="0"/>
        <w:rPr>
          <w:rFonts w:ascii="仿宋" w:hAnsi="仿宋" w:eastAsia="仿宋"/>
          <w:b/>
          <w:sz w:val="52"/>
          <w:szCs w:val="52"/>
        </w:rPr>
      </w:pPr>
      <w:bookmarkStart w:id="8" w:name="_Toc9581"/>
      <w:bookmarkStart w:id="9" w:name="_Toc23625"/>
      <w:r>
        <w:rPr>
          <w:rFonts w:hint="eastAsia" w:ascii="黑体" w:hAnsi="黑体" w:eastAsia="黑体"/>
          <w:b/>
          <w:sz w:val="52"/>
          <w:szCs w:val="52"/>
        </w:rPr>
        <w:t>用户使用手册</w:t>
      </w:r>
      <w:bookmarkEnd w:id="8"/>
      <w:bookmarkEnd w:id="9"/>
    </w:p>
    <w:p>
      <w:pPr>
        <w:ind w:firstLine="0" w:firstLineChars="0"/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涉企检查操作手册</w:t>
      </w:r>
    </w:p>
    <w:p>
      <w:pPr>
        <w:pStyle w:val="2"/>
        <w:ind w:left="0" w:leftChars="0" w:firstLine="0" w:firstLineChars="0"/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</w:p>
    <w:p>
      <w:pPr>
        <w:ind w:left="0" w:leftChars="0" w:firstLine="0" w:firstLineChars="0"/>
        <w:jc w:val="center"/>
      </w:pPr>
    </w:p>
    <w:p>
      <w:pPr>
        <w:pStyle w:val="2"/>
      </w:pPr>
    </w:p>
    <w:p/>
    <w:p>
      <w:pPr>
        <w:ind w:left="0" w:leftChars="0" w:firstLine="0" w:firstLineChars="0"/>
      </w:pPr>
    </w:p>
    <w:p>
      <w:pPr>
        <w:ind w:firstLine="0" w:firstLineChars="0"/>
        <w:jc w:val="center"/>
        <w:outlineLvl w:val="0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10" w:name="_Toc19991"/>
      <w:bookmarkStart w:id="11" w:name="_Toc16596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福建省大数据集团有限公司</w:t>
      </w:r>
      <w:bookmarkEnd w:id="10"/>
      <w:bookmarkEnd w:id="11"/>
    </w:p>
    <w:p>
      <w:pPr>
        <w:pStyle w:val="2"/>
        <w:ind w:left="0" w:leftChars="0" w:firstLine="0" w:firstLineChars="0"/>
        <w:rPr>
          <w:rFonts w:hint="eastAsia" w:ascii="黑体" w:hAnsi="黑体" w:cs="黑体"/>
          <w:b/>
          <w:bCs/>
          <w:sz w:val="32"/>
          <w:szCs w:val="32"/>
        </w:rPr>
      </w:pPr>
      <w:r>
        <w:rPr>
          <w:rFonts w:hint="eastAsia" w:ascii="黑体" w:hAnsi="黑体" w:cs="黑体"/>
          <w:b/>
          <w:bCs/>
          <w:sz w:val="32"/>
          <w:szCs w:val="32"/>
        </w:rPr>
        <w:t>二〇二</w:t>
      </w:r>
      <w:r>
        <w:rPr>
          <w:rFonts w:hint="eastAsia" w:ascii="黑体" w:hAnsi="黑体" w:cs="黑体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黑体" w:hAnsi="黑体" w:cs="黑体"/>
          <w:b/>
          <w:bCs/>
          <w:sz w:val="32"/>
          <w:szCs w:val="32"/>
        </w:rPr>
        <w:t>年</w:t>
      </w:r>
      <w:r>
        <w:rPr>
          <w:rFonts w:hint="eastAsia" w:ascii="黑体" w:hAnsi="黑体" w:cs="黑体"/>
          <w:b/>
          <w:bCs/>
          <w:sz w:val="32"/>
          <w:szCs w:val="32"/>
          <w:lang w:val="en-US" w:eastAsia="zh-CN"/>
        </w:rPr>
        <w:t>六</w:t>
      </w:r>
      <w:r>
        <w:rPr>
          <w:rFonts w:hint="eastAsia" w:ascii="黑体" w:hAnsi="黑体" w:cs="黑体"/>
          <w:b/>
          <w:bCs/>
          <w:sz w:val="32"/>
          <w:szCs w:val="32"/>
        </w:rPr>
        <w:t>月</w:t>
      </w:r>
    </w:p>
    <w:p>
      <w:pPr>
        <w:sectPr>
          <w:headerReference r:id="rId6" w:type="first"/>
          <w:headerReference r:id="rId5" w:type="default"/>
          <w:footerReference r:id="rId7" w:type="default"/>
          <w:pgSz w:w="11906" w:h="16838"/>
          <w:pgMar w:top="1417" w:right="1417" w:bottom="1417" w:left="1417" w:header="851" w:footer="992" w:gutter="0"/>
          <w:paperSrc/>
          <w:cols w:space="0" w:num="1"/>
          <w:titlePg/>
          <w:rtlGutter w:val="0"/>
          <w:docGrid w:type="lines" w:linePitch="333" w:charSpace="0"/>
        </w:sectPr>
      </w:pPr>
      <w:r>
        <w:br w:type="page"/>
      </w:r>
    </w:p>
    <w:p>
      <w:pPr>
        <w:pStyle w:val="2"/>
      </w:pPr>
    </w:p>
    <w:p>
      <w:pPr>
        <w:pStyle w:val="2"/>
        <w:ind w:left="0" w:leftChars="0" w:firstLine="0" w:firstLineChars="0"/>
        <w:outlineLvl w:val="0"/>
        <w:rPr>
          <w:rFonts w:hint="eastAsia"/>
          <w:b/>
          <w:bCs/>
          <w:sz w:val="32"/>
          <w:szCs w:val="32"/>
        </w:rPr>
      </w:pPr>
      <w:bookmarkStart w:id="12" w:name="_Toc262"/>
      <w:bookmarkStart w:id="13" w:name="_Toc10257"/>
      <w:r>
        <w:rPr>
          <w:rFonts w:hint="eastAsia"/>
          <w:b/>
          <w:bCs/>
          <w:sz w:val="32"/>
          <w:szCs w:val="32"/>
        </w:rPr>
        <w:t>文档修改记录</w:t>
      </w:r>
      <w:bookmarkEnd w:id="12"/>
      <w:bookmarkEnd w:id="13"/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812"/>
        <w:gridCol w:w="1812"/>
        <w:gridCol w:w="1812"/>
        <w:gridCol w:w="18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12" w:type="dxa"/>
            <w:noWrap w:val="0"/>
            <w:vAlign w:val="top"/>
          </w:tcPr>
          <w:p>
            <w:pPr>
              <w:pStyle w:val="14"/>
              <w:rPr>
                <w:rFonts w:hint="eastAsia"/>
                <w:szCs w:val="22"/>
                <w:lang w:eastAsia="en-US"/>
              </w:rPr>
            </w:pPr>
            <w:r>
              <w:rPr>
                <w:rFonts w:hint="eastAsia"/>
                <w:szCs w:val="22"/>
                <w:lang w:eastAsia="en-US"/>
              </w:rPr>
              <w:t>版本号</w:t>
            </w:r>
          </w:p>
        </w:tc>
        <w:tc>
          <w:tcPr>
            <w:tcW w:w="1812" w:type="dxa"/>
            <w:noWrap w:val="0"/>
            <w:vAlign w:val="top"/>
          </w:tcPr>
          <w:p>
            <w:pPr>
              <w:pStyle w:val="14"/>
              <w:rPr>
                <w:rFonts w:hint="eastAsia"/>
                <w:szCs w:val="22"/>
                <w:lang w:eastAsia="en-US"/>
              </w:rPr>
            </w:pPr>
            <w:r>
              <w:rPr>
                <w:rFonts w:hint="eastAsia"/>
                <w:szCs w:val="22"/>
                <w:lang w:eastAsia="en-US"/>
              </w:rPr>
              <w:t>版本描述</w:t>
            </w:r>
          </w:p>
        </w:tc>
        <w:tc>
          <w:tcPr>
            <w:tcW w:w="1812" w:type="dxa"/>
            <w:noWrap w:val="0"/>
            <w:vAlign w:val="top"/>
          </w:tcPr>
          <w:p>
            <w:pPr>
              <w:pStyle w:val="14"/>
              <w:rPr>
                <w:rFonts w:hint="eastAsia"/>
                <w:szCs w:val="22"/>
                <w:lang w:eastAsia="en-US"/>
              </w:rPr>
            </w:pPr>
            <w:r>
              <w:rPr>
                <w:rFonts w:hint="eastAsia"/>
                <w:szCs w:val="22"/>
                <w:lang w:eastAsia="en-US"/>
              </w:rPr>
              <w:t>责任人</w:t>
            </w:r>
          </w:p>
        </w:tc>
        <w:tc>
          <w:tcPr>
            <w:tcW w:w="1812" w:type="dxa"/>
            <w:noWrap w:val="0"/>
            <w:vAlign w:val="top"/>
          </w:tcPr>
          <w:p>
            <w:pPr>
              <w:pStyle w:val="14"/>
              <w:rPr>
                <w:rFonts w:hint="eastAsia"/>
                <w:szCs w:val="22"/>
                <w:lang w:eastAsia="en-US"/>
              </w:rPr>
            </w:pPr>
            <w:r>
              <w:rPr>
                <w:rFonts w:hint="eastAsia"/>
                <w:szCs w:val="22"/>
                <w:lang w:eastAsia="en-US"/>
              </w:rPr>
              <w:t>日期</w:t>
            </w:r>
          </w:p>
        </w:tc>
        <w:tc>
          <w:tcPr>
            <w:tcW w:w="1812" w:type="dxa"/>
            <w:noWrap w:val="0"/>
            <w:vAlign w:val="top"/>
          </w:tcPr>
          <w:p>
            <w:pPr>
              <w:pStyle w:val="14"/>
              <w:rPr>
                <w:rFonts w:hint="eastAsia"/>
                <w:szCs w:val="22"/>
                <w:lang w:eastAsia="en-US"/>
              </w:rPr>
            </w:pPr>
            <w:r>
              <w:rPr>
                <w:rFonts w:hint="eastAsia"/>
                <w:szCs w:val="22"/>
                <w:lang w:eastAsia="en-U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V</w:t>
            </w:r>
            <w:r>
              <w:rPr>
                <w:rFonts w:ascii="宋体" w:hAnsi="宋体"/>
                <w:szCs w:val="21"/>
              </w:rPr>
              <w:t>1.0</w:t>
            </w: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初稿</w:t>
            </w: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default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曾晓伟</w:t>
            </w: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default" w:eastAsia="宋体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2025-06-13</w:t>
            </w: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  <w:tc>
          <w:tcPr>
            <w:tcW w:w="1812" w:type="dxa"/>
            <w:noWrap w:val="0"/>
            <w:vAlign w:val="center"/>
          </w:tcPr>
          <w:p>
            <w:pPr>
              <w:pStyle w:val="15"/>
              <w:jc w:val="both"/>
              <w:rPr>
                <w:rFonts w:hint="eastAsia"/>
                <w:szCs w:val="22"/>
              </w:rPr>
            </w:pPr>
          </w:p>
        </w:tc>
      </w:tr>
    </w:tbl>
    <w:p>
      <w:pPr>
        <w:sectPr>
          <w:type w:val="continuous"/>
          <w:pgSz w:w="11906" w:h="16838"/>
          <w:pgMar w:top="1417" w:right="1417" w:bottom="1417" w:left="1417" w:header="851" w:footer="992" w:gutter="0"/>
          <w:paperSrc/>
          <w:cols w:space="0" w:num="1"/>
          <w:titlePg/>
          <w:rtlGutter w:val="0"/>
          <w:docGrid w:type="lines" w:linePitch="333" w:charSpace="0"/>
        </w:sectPr>
      </w:pPr>
      <w:r>
        <w:br w:type="page"/>
      </w:r>
    </w:p>
    <w:sdt>
      <w:sdtP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id w:val="147480159"/>
        <w15:color w:val="DBDBDB"/>
        <w:docPartObj>
          <w:docPartGallery w:val="Table of Contents"/>
          <w:docPartUnique/>
        </w:docPartObj>
      </w:sdtPr>
      <w:sdtContent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</w:pPr>
          <w:bookmarkStart w:id="14" w:name="_Toc57111443"/>
          <w:bookmarkStart w:id="15" w:name="_Toc3913"/>
          <w:bookmarkStart w:id="16" w:name="_Toc1252"/>
          <w:bookmarkStart w:id="17" w:name="_Toc32165"/>
          <w:bookmarkStart w:id="18" w:name="_Toc3531"/>
          <w:bookmarkStart w:id="19" w:name="_Toc16520"/>
          <w:bookmarkStart w:id="20" w:name="_Toc6730"/>
          <w:bookmarkStart w:id="21" w:name="_Toc11815"/>
          <w:r>
            <w:rPr>
              <w:rFonts w:hint="eastAsia" w:ascii="黑体" w:hAnsi="黑体" w:eastAsia="黑体" w:cs="黑体"/>
              <w:sz w:val="32"/>
              <w:szCs w:val="32"/>
            </w:rPr>
            <w:t>目</w:t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t xml:space="preserve">  </w:t>
          </w:r>
          <w:r>
            <w:rPr>
              <w:rFonts w:hint="eastAsia" w:ascii="黑体" w:hAnsi="黑体" w:eastAsia="黑体" w:cs="黑体"/>
              <w:sz w:val="32"/>
              <w:szCs w:val="32"/>
            </w:rPr>
            <w:t>录</w:t>
          </w: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</w:p>
        <w:p>
          <w:pPr>
            <w:pStyle w:val="19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_Toc11186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第一章 引言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_Toc11186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0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_Toc19701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z w:val="24"/>
              <w:szCs w:val="24"/>
            </w:rPr>
            <w:t xml:space="preserve">1.1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关于本手册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_Toc19701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0"/>
            <w:keepNext w:val="0"/>
            <w:keepLines w:val="0"/>
            <w:pageBreakBefore w:val="0"/>
            <w:widowControl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_Toc7206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z w:val="24"/>
              <w:szCs w:val="24"/>
            </w:rPr>
            <w:t xml:space="preserve">1.2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定义、简写和缩略语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_Toc7206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0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_Toc12116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z w:val="24"/>
              <w:szCs w:val="24"/>
            </w:rPr>
            <w:t xml:space="preserve">1.3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编写约定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_Toc12116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0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_Toc26235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z w:val="24"/>
              <w:szCs w:val="24"/>
            </w:rPr>
            <w:t xml:space="preserve">1.4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功能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概述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_Toc26235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0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_Toc21050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z w:val="24"/>
              <w:szCs w:val="24"/>
            </w:rPr>
            <w:t xml:space="preserve">1.5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系统运行环境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_Toc21050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_Toc7543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sz w:val="24"/>
              <w:szCs w:val="24"/>
              <w:vertAlign w:val="baseline"/>
            </w:rPr>
            <w:t xml:space="preserve">1.5.1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网络环境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_Toc7543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_Toc23348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sz w:val="24"/>
              <w:szCs w:val="24"/>
              <w:vertAlign w:val="baseline"/>
            </w:rPr>
            <w:t xml:space="preserve">1.5.2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客户端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_Toc23348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_Toc27089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 xml:space="preserve">第二章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电脑端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功能操作说明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_Toc27089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0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_Toc13293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z w:val="24"/>
              <w:szCs w:val="24"/>
            </w:rPr>
            <w:t xml:space="preserve">2.1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系统登录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_Toc13293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0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_Toc19314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z w:val="24"/>
              <w:szCs w:val="24"/>
            </w:rPr>
            <w:t xml:space="preserve">2.2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涉企检查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_Toc19314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_Toc23624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sz w:val="24"/>
              <w:szCs w:val="24"/>
              <w:vertAlign w:val="baseline"/>
            </w:rPr>
            <w:t xml:space="preserve">2.2.1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检查方案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_Toc23624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_Toc14539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sz w:val="24"/>
              <w:szCs w:val="24"/>
              <w:vertAlign w:val="baseline"/>
            </w:rPr>
            <w:t xml:space="preserve">2.2.2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检查任务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_Toc14539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10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9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_Toc30368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 xml:space="preserve">第三章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手机端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功能操作说明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_Toc30368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13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0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_Toc433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z w:val="24"/>
              <w:szCs w:val="24"/>
            </w:rPr>
            <w:t xml:space="preserve">3.1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系统登录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_Toc433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13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20"/>
            <w:keepNext w:val="0"/>
            <w:keepLines w:val="0"/>
            <w:pageBreakBefore w:val="0"/>
            <w:tabs>
              <w:tab w:val="right" w:leader="dot" w:pos="907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_Toc5821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z w:val="24"/>
              <w:szCs w:val="24"/>
            </w:rPr>
            <w:t xml:space="preserve">3.2 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涉企检查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_Toc5821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13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fldChar w:fldCharType="end"/>
          </w:r>
        </w:p>
      </w:sdtContent>
    </w:sdt>
    <w:p>
      <w:pPr>
        <w:pStyle w:val="3"/>
        <w:sectPr>
          <w:type w:val="continuous"/>
          <w:pgSz w:w="11906" w:h="16838"/>
          <w:pgMar w:top="1417" w:right="1417" w:bottom="1417" w:left="1417" w:header="851" w:footer="992" w:gutter="0"/>
          <w:paperSrc/>
          <w:cols w:space="0" w:num="1"/>
          <w:titlePg/>
          <w:rtlGutter w:val="0"/>
          <w:docGrid w:type="lines" w:linePitch="333" w:charSpace="0"/>
        </w:sectPr>
      </w:pPr>
      <w:bookmarkStart w:id="22" w:name="_Toc11186"/>
    </w:p>
    <w:p>
      <w:pPr>
        <w:pStyle w:val="3"/>
      </w:pPr>
      <w:r>
        <w:rPr>
          <w:rFonts w:hint="eastAsia"/>
        </w:rPr>
        <w:t>引言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pStyle w:val="4"/>
        <w:rPr>
          <w:rFonts w:hint="eastAsia"/>
        </w:rPr>
      </w:pPr>
      <w:bookmarkStart w:id="23" w:name="_Toc21779"/>
      <w:bookmarkStart w:id="24" w:name="_Toc21142"/>
      <w:bookmarkStart w:id="25" w:name="_Toc30199"/>
      <w:bookmarkStart w:id="26" w:name="_Toc23307"/>
      <w:bookmarkStart w:id="27" w:name="_Toc30789"/>
      <w:bookmarkStart w:id="28" w:name="_Toc8296"/>
      <w:bookmarkStart w:id="29" w:name="_Toc57111444"/>
      <w:bookmarkStart w:id="30" w:name="_Toc22341"/>
      <w:bookmarkStart w:id="31" w:name="_Toc12010"/>
      <w:bookmarkStart w:id="32" w:name="_Toc19701"/>
      <w:r>
        <w:rPr>
          <w:rFonts w:hint="eastAsia"/>
        </w:rPr>
        <w:t>关于本手册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ind w:firstLine="480"/>
        <w:rPr>
          <w:rFonts w:hint="eastAsia"/>
        </w:rPr>
      </w:pPr>
      <w:r>
        <w:rPr>
          <w:rFonts w:hint="eastAsia"/>
        </w:rPr>
        <w:t>《</w:t>
      </w:r>
      <w:r>
        <w:rPr>
          <w:rFonts w:hint="eastAsia"/>
          <w:lang w:val="en-US" w:eastAsia="zh-CN"/>
        </w:rPr>
        <w:t>福建省一体化大融合行政执法平台</w:t>
      </w:r>
      <w:r>
        <w:t>-</w:t>
      </w:r>
      <w:r>
        <w:rPr>
          <w:rFonts w:hint="eastAsia"/>
          <w:lang w:val="en-US" w:eastAsia="zh-CN"/>
        </w:rPr>
        <w:t>涉企检查操作手册</w:t>
      </w:r>
      <w:r>
        <w:t>》</w:t>
      </w:r>
      <w:r>
        <w:rPr>
          <w:rFonts w:hint="eastAsia"/>
        </w:rPr>
        <w:t>主要目的是提供给各级行政执法单位的执法人员了解</w:t>
      </w:r>
      <w:r>
        <w:rPr>
          <w:rFonts w:hint="eastAsia"/>
          <w:lang w:val="en-US" w:eastAsia="zh-CN"/>
        </w:rPr>
        <w:t>涉企检查</w:t>
      </w:r>
      <w:r>
        <w:rPr>
          <w:rFonts w:hint="eastAsia"/>
        </w:rPr>
        <w:t>的功能及使用。通过对</w:t>
      </w:r>
      <w:r>
        <w:rPr>
          <w:rFonts w:hint="eastAsia"/>
          <w:lang w:val="en-US" w:eastAsia="zh-CN"/>
        </w:rPr>
        <w:t>涉企检查</w:t>
      </w:r>
      <w:r>
        <w:rPr>
          <w:rFonts w:hint="eastAsia"/>
        </w:rPr>
        <w:t>的功能及使用的操作方法全面介绍，使执法人员深入浅出地了解</w:t>
      </w:r>
      <w:r>
        <w:rPr>
          <w:rFonts w:hint="eastAsia"/>
          <w:lang w:val="en-US" w:eastAsia="zh-CN"/>
        </w:rPr>
        <w:t>涉企检查功能</w:t>
      </w:r>
      <w:r>
        <w:rPr>
          <w:rFonts w:hint="eastAsia"/>
        </w:rPr>
        <w:t>，并能灵活、有效地应用该平台进行执法办案。</w:t>
      </w:r>
    </w:p>
    <w:p>
      <w:pPr>
        <w:pStyle w:val="4"/>
      </w:pPr>
      <w:bookmarkStart w:id="33" w:name="_Toc30596"/>
      <w:bookmarkStart w:id="34" w:name="_Toc16681"/>
      <w:bookmarkStart w:id="35" w:name="_Toc30660"/>
      <w:bookmarkStart w:id="36" w:name="_Toc12002"/>
      <w:bookmarkStart w:id="37" w:name="_Toc4701"/>
      <w:bookmarkStart w:id="38" w:name="_Toc7546"/>
      <w:bookmarkStart w:id="39" w:name="_Toc5704"/>
      <w:bookmarkStart w:id="40" w:name="_Toc57111445"/>
      <w:bookmarkStart w:id="41" w:name="_Toc18013"/>
      <w:bookmarkStart w:id="42" w:name="_Toc7206"/>
      <w:r>
        <w:rPr>
          <w:rFonts w:hint="eastAsia"/>
        </w:rPr>
        <w:t>定义</w:t>
      </w:r>
      <w:bookmarkEnd w:id="33"/>
      <w:bookmarkEnd w:id="34"/>
      <w:bookmarkEnd w:id="35"/>
      <w:bookmarkEnd w:id="36"/>
      <w:bookmarkEnd w:id="37"/>
      <w:bookmarkEnd w:id="38"/>
      <w:bookmarkEnd w:id="39"/>
      <w:r>
        <w:rPr>
          <w:rFonts w:hint="eastAsia"/>
        </w:rPr>
        <w:t>、简写和缩略语</w:t>
      </w:r>
      <w:bookmarkEnd w:id="40"/>
      <w:bookmarkEnd w:id="41"/>
      <w:bookmarkEnd w:id="42"/>
    </w:p>
    <w:p>
      <w:pPr>
        <w:ind w:firstLine="480"/>
      </w:pPr>
      <w:r>
        <w:rPr>
          <w:rFonts w:hint="eastAsia"/>
        </w:rPr>
        <w:t>该</w:t>
      </w:r>
      <w:r>
        <w:rPr>
          <w:rFonts w:hint="eastAsia"/>
          <w:lang w:val="en-US" w:eastAsia="zh-CN"/>
        </w:rPr>
        <w:t>福建省一体化大融合行政执法</w:t>
      </w:r>
      <w:r>
        <w:rPr>
          <w:rFonts w:hint="eastAsia"/>
        </w:rPr>
        <w:t>平台，以下简称“</w:t>
      </w:r>
      <w:r>
        <w:rPr>
          <w:rFonts w:hint="eastAsia"/>
          <w:lang w:val="en-US" w:eastAsia="zh-CN"/>
        </w:rPr>
        <w:t>闽执法</w:t>
      </w:r>
      <w:r>
        <w:rPr>
          <w:rFonts w:hint="eastAsia"/>
        </w:rPr>
        <w:t>”。</w:t>
      </w:r>
    </w:p>
    <w:p>
      <w:pPr>
        <w:pStyle w:val="4"/>
      </w:pPr>
      <w:bookmarkStart w:id="43" w:name="_Toc813"/>
      <w:bookmarkStart w:id="44" w:name="_Toc16619"/>
      <w:bookmarkStart w:id="45" w:name="_Toc29498"/>
      <w:bookmarkStart w:id="46" w:name="_Toc57111446"/>
      <w:bookmarkStart w:id="47" w:name="_Toc3051"/>
      <w:bookmarkStart w:id="48" w:name="_Toc13668"/>
      <w:bookmarkStart w:id="49" w:name="_Toc10999"/>
      <w:bookmarkStart w:id="50" w:name="_Toc8974"/>
      <w:bookmarkStart w:id="51" w:name="_Toc23615"/>
      <w:bookmarkStart w:id="52" w:name="_Toc12116"/>
      <w:r>
        <w:rPr>
          <w:rFonts w:hint="eastAsia"/>
        </w:rPr>
        <w:t>编写约定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>
      <w:pPr>
        <w:ind w:firstLine="480"/>
        <w:rPr>
          <w:rFonts w:hint="eastAsia"/>
        </w:rPr>
      </w:pPr>
      <w:r>
        <w:rPr>
          <w:rFonts w:hint="eastAsia"/>
        </w:rPr>
        <w:t>无。</w:t>
      </w:r>
      <w:bookmarkStart w:id="53" w:name="_Toc29222"/>
      <w:bookmarkStart w:id="54" w:name="_Toc14294"/>
      <w:bookmarkStart w:id="55" w:name="_Toc7982"/>
      <w:bookmarkStart w:id="56" w:name="_Toc14682"/>
      <w:bookmarkStart w:id="57" w:name="_Toc14015"/>
      <w:bookmarkStart w:id="58" w:name="_Toc11321"/>
      <w:bookmarkStart w:id="59" w:name="_Toc18295"/>
      <w:bookmarkStart w:id="60" w:name="_Toc57111448"/>
      <w:r>
        <w:rPr>
          <w:rFonts w:hint="eastAsia"/>
        </w:rPr>
        <w:t>概述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>
      <w:pPr>
        <w:pStyle w:val="4"/>
      </w:pPr>
      <w:bookmarkStart w:id="61" w:name="_Toc28269"/>
      <w:bookmarkStart w:id="62" w:name="_Toc1357"/>
      <w:bookmarkStart w:id="63" w:name="_Toc19901"/>
      <w:bookmarkStart w:id="64" w:name="_Toc24705"/>
      <w:bookmarkStart w:id="65" w:name="_Toc22052"/>
      <w:bookmarkStart w:id="66" w:name="_Toc25513"/>
      <w:bookmarkStart w:id="67" w:name="_Toc57111449"/>
      <w:bookmarkStart w:id="68" w:name="_Toc32498"/>
      <w:bookmarkStart w:id="69" w:name="_Toc18834"/>
      <w:bookmarkStart w:id="70" w:name="_Toc26235"/>
      <w:r>
        <w:rPr>
          <w:rFonts w:hint="eastAsia"/>
        </w:rPr>
        <w:t>功能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r>
        <w:rPr>
          <w:rFonts w:hint="eastAsia"/>
          <w:lang w:val="en-US" w:eastAsia="zh-CN"/>
        </w:rPr>
        <w:t>概述</w:t>
      </w:r>
      <w:bookmarkEnd w:id="69"/>
      <w:bookmarkEnd w:id="70"/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jc w:val="both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涉企检查功能涵盖检查方案发布、任务生成、执法亮码及企业扫码核对全流程：执法部门可在线制定并发布检查方案，明确检查时间、检查对象、检查人员以及检查依据，制作后并提交单位领导审批，审批通过后操作提交任务，系统据此自动生成检查任务并分配至执法人员；执法人员到企后通过移动端进行亮码，表明来意，企业扫码即可实时验证执法人员身份、检查内容，确保检查过程透明可信，同时所有操作数据留痕，支持双向监督与统计分析，实现规范化、高效化的涉企监管。</w:t>
      </w:r>
    </w:p>
    <w:p>
      <w:pPr>
        <w:pStyle w:val="16"/>
        <w:rPr>
          <w:rFonts w:ascii="黑体" w:hAnsi="黑体"/>
        </w:rPr>
      </w:pPr>
      <w:r>
        <w:rPr>
          <w:rFonts w:hint="eastAsia" w:ascii="黑体" w:hAnsi="黑体"/>
        </w:rPr>
        <w:t>表</w:t>
      </w:r>
      <w:r>
        <w:rPr>
          <w:rFonts w:hint="eastAsia" w:ascii="黑体" w:hAnsi="黑体"/>
          <w:lang w:val="en-US" w:eastAsia="zh-CN"/>
        </w:rPr>
        <w:t>1</w:t>
      </w:r>
      <w:bookmarkStart w:id="122" w:name="_GoBack"/>
      <w:bookmarkEnd w:id="122"/>
      <w:r>
        <w:rPr>
          <w:rFonts w:hint="eastAsia" w:ascii="黑体" w:hAnsi="黑体"/>
        </w:rPr>
        <w:t>：系统功能</w:t>
      </w:r>
    </w:p>
    <w:tbl>
      <w:tblPr>
        <w:tblStyle w:val="10"/>
        <w:tblW w:w="507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"/>
        <w:gridCol w:w="922"/>
        <w:gridCol w:w="1198"/>
        <w:gridCol w:w="1124"/>
        <w:gridCol w:w="56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83" w:type="pct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489" w:type="pct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终端</w:t>
            </w:r>
          </w:p>
        </w:tc>
        <w:tc>
          <w:tcPr>
            <w:tcW w:w="635" w:type="pct"/>
            <w:noWrap w:val="0"/>
            <w:vAlign w:val="center"/>
          </w:tcPr>
          <w:p>
            <w:pPr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一级菜单</w:t>
            </w:r>
          </w:p>
        </w:tc>
        <w:tc>
          <w:tcPr>
            <w:tcW w:w="596" w:type="pct"/>
            <w:noWrap w:val="0"/>
            <w:vAlign w:val="center"/>
          </w:tcPr>
          <w:p>
            <w:pPr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二级菜单</w:t>
            </w:r>
          </w:p>
        </w:tc>
        <w:tc>
          <w:tcPr>
            <w:tcW w:w="2995" w:type="pct"/>
            <w:noWrap w:val="0"/>
            <w:vAlign w:val="center"/>
          </w:tcPr>
          <w:p>
            <w:pPr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83" w:type="pct"/>
            <w:noWrap w:val="0"/>
            <w:vAlign w:val="center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489" w:type="pct"/>
            <w:vMerge w:val="restart"/>
            <w:noWrap/>
            <w:vAlign w:val="center"/>
          </w:tcPr>
          <w:p>
            <w:pPr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PC端</w:t>
            </w:r>
          </w:p>
        </w:tc>
        <w:tc>
          <w:tcPr>
            <w:tcW w:w="635" w:type="pct"/>
            <w:vMerge w:val="restart"/>
            <w:noWrap/>
            <w:vAlign w:val="center"/>
          </w:tcPr>
          <w:p>
            <w:pPr>
              <w:ind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涉企检查</w:t>
            </w:r>
          </w:p>
        </w:tc>
        <w:tc>
          <w:tcPr>
            <w:tcW w:w="596" w:type="pct"/>
            <w:noWrap/>
            <w:vAlign w:val="center"/>
          </w:tcPr>
          <w:p>
            <w:pPr>
              <w:ind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检查方案</w:t>
            </w:r>
          </w:p>
        </w:tc>
        <w:tc>
          <w:tcPr>
            <w:tcW w:w="2995" w:type="pct"/>
            <w:noWrap/>
            <w:vAlign w:val="center"/>
          </w:tcPr>
          <w:p>
            <w:pPr>
              <w:ind w:firstLine="0" w:firstLineChars="0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创建方案、删除方案、审批方案、查看方案详情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83" w:type="pct"/>
            <w:noWrap w:val="0"/>
            <w:vAlign w:val="center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2</w:t>
            </w:r>
          </w:p>
        </w:tc>
        <w:tc>
          <w:tcPr>
            <w:tcW w:w="489" w:type="pct"/>
            <w:vMerge w:val="continue"/>
            <w:tcBorders/>
            <w:noWrap/>
            <w:vAlign w:val="center"/>
          </w:tcPr>
          <w:p>
            <w:pPr>
              <w:ind w:firstLine="0" w:firstLineChars="0"/>
              <w:jc w:val="both"/>
              <w:rPr>
                <w:sz w:val="21"/>
                <w:szCs w:val="21"/>
              </w:rPr>
            </w:pPr>
          </w:p>
        </w:tc>
        <w:tc>
          <w:tcPr>
            <w:tcW w:w="635" w:type="pct"/>
            <w:vMerge w:val="continue"/>
            <w:noWrap/>
            <w:vAlign w:val="center"/>
          </w:tcPr>
          <w:p>
            <w:pPr>
              <w:ind w:firstLine="0" w:firstLineChars="0"/>
              <w:jc w:val="both"/>
              <w:rPr>
                <w:sz w:val="21"/>
                <w:szCs w:val="21"/>
              </w:rPr>
            </w:pPr>
          </w:p>
        </w:tc>
        <w:tc>
          <w:tcPr>
            <w:tcW w:w="596" w:type="pct"/>
            <w:noWrap/>
            <w:vAlign w:val="center"/>
          </w:tcPr>
          <w:p>
            <w:pPr>
              <w:ind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检查任务</w:t>
            </w:r>
          </w:p>
        </w:tc>
        <w:tc>
          <w:tcPr>
            <w:tcW w:w="2995" w:type="pct"/>
            <w:noWrap/>
            <w:vAlign w:val="center"/>
          </w:tcPr>
          <w:p>
            <w:pPr>
              <w:ind w:firstLine="0" w:firstLineChars="0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创建任务、取消任务、提交任务、查看任务详情、启动检查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83" w:type="pct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eastAsia="宋体" w:cs="宋体"/>
                <w:kern w:val="0"/>
                <w:sz w:val="21"/>
                <w:szCs w:val="21"/>
                <w:lang w:val="en-US" w:eastAsia="zh-CN"/>
              </w:rPr>
            </w:pPr>
            <w:bookmarkStart w:id="71" w:name="_Toc1554"/>
            <w:bookmarkStart w:id="72" w:name="_Toc9356"/>
            <w:bookmarkStart w:id="73" w:name="_Toc6022"/>
            <w:bookmarkStart w:id="74" w:name="_Toc31691"/>
            <w:bookmarkStart w:id="75" w:name="_Toc6657"/>
            <w:bookmarkStart w:id="76" w:name="_Toc57111450"/>
            <w:bookmarkStart w:id="77" w:name="_Toc12456"/>
            <w:bookmarkStart w:id="78" w:name="_Toc11337"/>
            <w:r>
              <w:rPr>
                <w:rFonts w:hint="eastAsia" w:cs="宋体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489" w:type="pct"/>
            <w:noWrap/>
            <w:vAlign w:val="center"/>
          </w:tcPr>
          <w:p>
            <w:pPr>
              <w:ind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手机端</w:t>
            </w:r>
          </w:p>
        </w:tc>
        <w:tc>
          <w:tcPr>
            <w:tcW w:w="635" w:type="pct"/>
            <w:noWrap/>
            <w:vAlign w:val="center"/>
          </w:tcPr>
          <w:p>
            <w:pPr>
              <w:ind w:firstLine="0" w:firstLineChars="0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首页</w:t>
            </w:r>
          </w:p>
        </w:tc>
        <w:tc>
          <w:tcPr>
            <w:tcW w:w="596" w:type="pct"/>
            <w:noWrap/>
            <w:vAlign w:val="center"/>
          </w:tcPr>
          <w:p>
            <w:pPr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涉企检查</w:t>
            </w:r>
          </w:p>
        </w:tc>
        <w:tc>
          <w:tcPr>
            <w:tcW w:w="2995" w:type="pct"/>
            <w:noWrap/>
            <w:vAlign w:val="center"/>
          </w:tcPr>
          <w:p>
            <w:pPr>
              <w:ind w:firstLine="0" w:firstLineChars="0"/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亮码、查看任务、启动检查</w:t>
            </w:r>
          </w:p>
        </w:tc>
      </w:tr>
    </w:tbl>
    <w:p>
      <w:pPr>
        <w:pStyle w:val="4"/>
      </w:pPr>
      <w:bookmarkStart w:id="79" w:name="_Toc27041"/>
      <w:bookmarkStart w:id="80" w:name="_Toc21050"/>
      <w:r>
        <w:rPr>
          <w:rFonts w:hint="eastAsia"/>
        </w:rPr>
        <w:t>系统运行环境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>
      <w:pPr>
        <w:pStyle w:val="5"/>
      </w:pPr>
      <w:bookmarkStart w:id="81" w:name="_Toc9493"/>
      <w:bookmarkStart w:id="82" w:name="_Toc24804"/>
      <w:bookmarkStart w:id="83" w:name="_Toc820"/>
      <w:bookmarkStart w:id="84" w:name="_Toc57111451"/>
      <w:bookmarkStart w:id="85" w:name="_Toc24667"/>
      <w:bookmarkStart w:id="86" w:name="_Toc32198"/>
      <w:bookmarkStart w:id="87" w:name="_Toc32181"/>
      <w:bookmarkStart w:id="88" w:name="_Toc31866"/>
      <w:bookmarkStart w:id="89" w:name="_Toc7543"/>
      <w:r>
        <w:rPr>
          <w:rFonts w:hint="eastAsia"/>
        </w:rPr>
        <w:t>网络环境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>
      <w:pPr>
        <w:pStyle w:val="2"/>
        <w:ind w:firstLine="480"/>
        <w:jc w:val="left"/>
        <w:rPr>
          <w:rFonts w:hint="eastAsia" w:ascii="宋体" w:hAnsi="宋体" w:eastAsia="宋体"/>
          <w:kern w:val="2"/>
        </w:rPr>
      </w:pPr>
      <w:bookmarkStart w:id="90" w:name="_Hlk57120905"/>
      <w:r>
        <w:rPr>
          <w:rFonts w:hint="eastAsia" w:ascii="宋体" w:hAnsi="宋体" w:eastAsia="宋体"/>
          <w:kern w:val="2"/>
        </w:rPr>
        <w:t>平台运行于</w:t>
      </w:r>
      <w:r>
        <w:rPr>
          <w:rFonts w:hint="eastAsia" w:ascii="宋体" w:hAnsi="宋体" w:eastAsia="宋体"/>
          <w:kern w:val="2"/>
          <w:lang w:val="en-US" w:eastAsia="zh-CN"/>
        </w:rPr>
        <w:t>福建省</w:t>
      </w:r>
      <w:r>
        <w:rPr>
          <w:rFonts w:hint="eastAsia" w:ascii="宋体" w:hAnsi="宋体" w:eastAsia="宋体"/>
          <w:kern w:val="2"/>
        </w:rPr>
        <w:t>电子政务外网环境中</w:t>
      </w:r>
      <w:bookmarkEnd w:id="90"/>
      <w:r>
        <w:rPr>
          <w:rFonts w:hint="eastAsia" w:ascii="宋体" w:hAnsi="宋体" w:eastAsia="宋体"/>
          <w:kern w:val="2"/>
        </w:rPr>
        <w:t>。</w:t>
      </w:r>
    </w:p>
    <w:p>
      <w:pPr>
        <w:pStyle w:val="5"/>
      </w:pPr>
      <w:bookmarkStart w:id="91" w:name="_Toc1211"/>
      <w:bookmarkStart w:id="92" w:name="_Toc10963"/>
      <w:bookmarkStart w:id="93" w:name="_Toc7933"/>
      <w:bookmarkStart w:id="94" w:name="_Toc57111452"/>
      <w:bookmarkStart w:id="95" w:name="_Toc18251"/>
      <w:bookmarkStart w:id="96" w:name="_Toc671"/>
      <w:bookmarkStart w:id="97" w:name="_Toc22658"/>
      <w:bookmarkStart w:id="98" w:name="_Toc14406"/>
      <w:bookmarkStart w:id="99" w:name="_Toc23348"/>
      <w:r>
        <w:rPr>
          <w:rFonts w:hint="eastAsia"/>
        </w:rPr>
        <w:t>客户端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>
      <w:pPr>
        <w:ind w:firstLine="480"/>
        <w:rPr>
          <w:rFonts w:hint="eastAsia"/>
        </w:rPr>
      </w:pPr>
      <w:r>
        <w:rPr>
          <w:rFonts w:hint="eastAsia"/>
          <w:lang w:val="en-US" w:eastAsia="zh-CN"/>
        </w:rPr>
        <w:t>电脑端</w:t>
      </w:r>
      <w:r>
        <w:rPr>
          <w:rFonts w:hint="eastAsia"/>
        </w:rPr>
        <w:t>操作系统要求：Windows XP/2003/2008/Windows 7/8/10。</w:t>
      </w:r>
    </w:p>
    <w:p>
      <w:pPr>
        <w:ind w:firstLine="480"/>
        <w:rPr>
          <w:rFonts w:hint="eastAsia"/>
        </w:rPr>
      </w:pPr>
      <w:r>
        <w:rPr>
          <w:rFonts w:hint="eastAsia"/>
        </w:rPr>
        <w:t>浏览器：适配IE10及以上版本</w:t>
      </w:r>
      <w:r>
        <w:rPr>
          <w:rFonts w:hint="eastAsia"/>
          <w:lang w:eastAsia="zh-CN"/>
        </w:rPr>
        <w:t>、</w:t>
      </w:r>
      <w:r>
        <w:t>360</w:t>
      </w:r>
      <w:r>
        <w:rPr>
          <w:rFonts w:hint="eastAsia"/>
        </w:rPr>
        <w:t>浏览器</w:t>
      </w:r>
      <w:r>
        <w:rPr>
          <w:rFonts w:hint="eastAsia"/>
          <w:lang w:val="en-US" w:eastAsia="zh-CN"/>
        </w:rPr>
        <w:t>或谷歌浏览器</w:t>
      </w:r>
      <w:r>
        <w:rPr>
          <w:rFonts w:hint="eastAsia"/>
        </w:rPr>
        <w:t>。</w:t>
      </w:r>
    </w:p>
    <w:p>
      <w:pPr>
        <w:ind w:firstLine="480"/>
        <w:rPr>
          <w:rFonts w:hint="eastAsia"/>
        </w:rPr>
      </w:pPr>
      <w:r>
        <w:rPr>
          <w:rFonts w:hint="eastAsia"/>
        </w:rPr>
        <w:t>CPU核数：双核及以上.</w:t>
      </w:r>
    </w:p>
    <w:p>
      <w:pPr>
        <w:ind w:firstLine="480"/>
        <w:rPr>
          <w:rFonts w:hint="eastAsia"/>
        </w:rPr>
      </w:pPr>
      <w:r>
        <w:rPr>
          <w:rFonts w:hint="eastAsia"/>
        </w:rPr>
        <w:t>内存：2G及以上。</w:t>
      </w:r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手机端操作系统要求：安卓系统、闽政务APP</w:t>
      </w:r>
    </w:p>
    <w:p>
      <w:pPr>
        <w:pStyle w:val="3"/>
      </w:pPr>
      <w:bookmarkStart w:id="100" w:name="_Toc5217"/>
      <w:bookmarkStart w:id="101" w:name="_Toc2377"/>
      <w:bookmarkStart w:id="102" w:name="_Toc31667"/>
      <w:bookmarkStart w:id="103" w:name="_Toc13776"/>
      <w:bookmarkStart w:id="104" w:name="_Toc29391"/>
      <w:bookmarkStart w:id="105" w:name="_Toc31226"/>
      <w:bookmarkStart w:id="106" w:name="_Toc57111454"/>
      <w:bookmarkStart w:id="107" w:name="_Toc1458"/>
      <w:bookmarkStart w:id="108" w:name="_Toc12943"/>
      <w:bookmarkStart w:id="109" w:name="_Toc27089"/>
      <w:r>
        <w:rPr>
          <w:rFonts w:hint="eastAsia"/>
          <w:lang w:val="en-US" w:eastAsia="zh-CN"/>
        </w:rPr>
        <w:t>电脑端</w:t>
      </w:r>
      <w:r>
        <w:rPr>
          <w:rFonts w:hint="eastAsia"/>
        </w:rPr>
        <w:t>功能操作说明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>
      <w:pPr>
        <w:pStyle w:val="4"/>
      </w:pPr>
      <w:bookmarkStart w:id="110" w:name="_Toc30945"/>
      <w:bookmarkStart w:id="111" w:name="_Toc13293"/>
      <w:r>
        <w:rPr>
          <w:rFonts w:hint="eastAsia"/>
          <w:lang w:val="en-US" w:eastAsia="zh-CN"/>
        </w:rPr>
        <w:t>系统登录</w:t>
      </w:r>
      <w:bookmarkEnd w:id="110"/>
      <w:bookmarkEnd w:id="111"/>
    </w:p>
    <w:p>
      <w:pPr>
        <w:bidi w:val="0"/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  <w:t>第一步：执法人员/管理员登录闽执法平台，在浏览器地址栏输入执法办案系统访问地址：</w:t>
      </w:r>
      <w: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  <w:fldChar w:fldCharType="begin"/>
      </w:r>
      <w: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  <w:instrText xml:space="preserve"> HYPERLINK "https://59.204.228.94:4431/uc/#/" </w:instrText>
      </w:r>
      <w: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  <w:fldChar w:fldCharType="separate"/>
      </w:r>
      <w: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  <w:t>https://59.204.228.94:4431/uc/#/</w:t>
      </w:r>
      <w: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  <w:fldChar w:fldCharType="end"/>
      </w:r>
    </w:p>
    <w:p>
      <w:pPr>
        <w:bidi w:val="0"/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  <w:t>第二步：输入福建省公务人员统一身份认证平台的账号及密码。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56275" cy="2643505"/>
            <wp:effectExtent l="0" t="0" r="952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福建省数字身份管理服务平台登录页面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58815" cy="2085975"/>
            <wp:effectExtent l="0" t="0" r="6985" b="952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福建省一体化大融合行政执法平台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48655" cy="2279650"/>
            <wp:effectExtent l="0" t="0" r="4445" b="635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eastAsia"/>
        </w:rPr>
      </w:pPr>
      <w:r>
        <w:rPr>
          <w:rFonts w:hint="eastAsia"/>
          <w:lang w:val="en-US" w:eastAsia="zh-CN"/>
        </w:rPr>
        <w:t>闽执法统一门户</w:t>
      </w:r>
    </w:p>
    <w:p>
      <w:pPr>
        <w:pStyle w:val="4"/>
      </w:pPr>
      <w:bookmarkStart w:id="112" w:name="_Toc11595"/>
      <w:bookmarkStart w:id="113" w:name="_Toc19314"/>
      <w:r>
        <w:rPr>
          <w:rFonts w:hint="eastAsia"/>
          <w:lang w:val="en-US" w:eastAsia="zh-CN"/>
        </w:rPr>
        <w:t>涉企检查</w:t>
      </w:r>
      <w:bookmarkEnd w:id="112"/>
      <w:bookmarkEnd w:id="113"/>
    </w:p>
    <w:p>
      <w:pPr>
        <w:pStyle w:val="5"/>
      </w:pPr>
      <w:bookmarkStart w:id="114" w:name="_Toc23624"/>
      <w:r>
        <w:rPr>
          <w:rFonts w:hint="eastAsia"/>
          <w:lang w:val="en-US" w:eastAsia="zh-CN"/>
        </w:rPr>
        <w:t>检查方案</w:t>
      </w:r>
      <w:bookmarkEnd w:id="114"/>
    </w:p>
    <w:p>
      <w:pPr>
        <w:pStyle w:val="6"/>
      </w:pPr>
      <w:r>
        <w:rPr>
          <w:rFonts w:hint="eastAsia"/>
          <w:lang w:val="en-US" w:eastAsia="zh-CN"/>
        </w:rPr>
        <w:t>新增方案</w:t>
      </w:r>
    </w:p>
    <w:p>
      <w:pPr>
        <w:rPr>
          <w:rFonts w:hint="default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  <w:t>（1）点击涉企检查-检查方案，列表可查看到待处理、已审批、所有方案的数据，点击新增方案，输入方案名称、选择检查起始时间、检查类型、检查形式、检查内容及依据，添加检查对象。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760085" cy="1435735"/>
            <wp:effectExtent l="0" t="0" r="5715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检查方案列表页面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60720" cy="2654935"/>
            <wp:effectExtent l="0" t="0" r="508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新增检查方案页面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629150" cy="3321050"/>
            <wp:effectExtent l="0" t="0" r="635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行政检查的定义及类型</w:t>
      </w: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  <w:t>如点击检查内容及依据，如涉及到多个检查依据，可依次进行添加；如未找到事项，需让单位管理员登录执法要素中心-认领检查事项后即可展示，如执法要素中心未找到相关可认领检查事项，可向主管部门进行反馈申请添加。</w:t>
      </w:r>
    </w:p>
    <w:p>
      <w:pP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  <w:t>添加检查对象：支持输入法人、个体工商户、非法人组织，需要输入名称和证件号码。然后设置检查人员信息，检查人员列表加载的是单位已获得执法证的执法人员信息，如涉及检查多个对象，可再次新增对象，添加对象后，也支持批量设置检查人员信息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6275" cy="3244215"/>
            <wp:effectExtent l="0" t="0" r="9525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新增检查对象页面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3100" cy="3324860"/>
            <wp:effectExtent l="0" t="0" r="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设置检查人员页面</w:t>
      </w:r>
    </w:p>
    <w:p>
      <w:pPr>
        <w:pStyle w:val="2"/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</w:t>
      </w:r>
      <w:r>
        <w:rPr>
          <w:rFonts w:hint="eastAsia" w:ascii="宋体" w:hAnsi="宋体" w:eastAsia="宋体" w:cs="Times New Roman"/>
          <w:bCs w:val="0"/>
          <w:color w:val="auto"/>
          <w:kern w:val="2"/>
          <w:sz w:val="24"/>
          <w:szCs w:val="22"/>
          <w:lang w:val="en-US" w:eastAsia="zh-CN" w:bidi="ar-SA"/>
        </w:rPr>
        <w:t>方案核实无误后，点击发起审批，提交单位领导进行审批，如需修改内容，可在检查方案审批表内容进行修改，审批后修改内容会自动更新方案详情信息，填写处理意见，鼠标移至左上角发送按钮，点击提交单位领导审批，选择领导信息，然后点击确认，领导可在首页-待办查看待审批记录，进入后，核实信息，如信息有误可退回经办人进行修改，如无误，填写审批意见，点击结束即可。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005" cy="3997325"/>
            <wp:effectExtent l="0" t="0" r="10795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提交审批</w:t>
      </w:r>
    </w:p>
    <w:p/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751830" cy="2921000"/>
            <wp:effectExtent l="0" t="0" r="127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检查方案审批页面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640" cy="3013075"/>
            <wp:effectExtent l="0" t="0" r="10160" b="952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提交单位领导审批</w:t>
      </w:r>
    </w:p>
    <w:p>
      <w:pPr>
        <w:pStyle w:val="6"/>
      </w:pPr>
      <w:r>
        <w:rPr>
          <w:rFonts w:hint="eastAsia"/>
          <w:lang w:val="en-US" w:eastAsia="zh-CN"/>
        </w:rPr>
        <w:t>删除方案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如方案未拟稿状态，未提交单位领导进行审批，可点击删除方案，将方案进行审批，如提交审批则无法进行删除。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4370" cy="1432560"/>
            <wp:effectExtent l="0" t="0" r="11430" b="25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删除方案</w:t>
      </w:r>
    </w:p>
    <w:p>
      <w:pPr>
        <w:pStyle w:val="5"/>
      </w:pPr>
      <w:bookmarkStart w:id="115" w:name="_Toc14539"/>
      <w:r>
        <w:rPr>
          <w:rFonts w:hint="eastAsia"/>
          <w:lang w:val="en-US" w:eastAsia="zh-CN"/>
        </w:rPr>
        <w:t>检查任务</w:t>
      </w:r>
      <w:bookmarkEnd w:id="115"/>
    </w:p>
    <w:p>
      <w:pPr>
        <w:pStyle w:val="6"/>
      </w:pPr>
      <w:r>
        <w:rPr>
          <w:rFonts w:hint="eastAsia"/>
          <w:lang w:val="en-US" w:eastAsia="zh-CN"/>
        </w:rPr>
        <w:t>提交任务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案审批通过后，可在待检查列表查看到待检查的任务，点击打开，进入任务详情页面，设置具体的检查时间，如检查人员需要变更，可点击添加按钮，重新进行指派，点击提交任务，同时也支持在手机端闽执法-涉企检查功能模块进行提交任务，提交后，即可完成检查任务码的生成，执法人员可进入手机端-闽执法-涉企检查功能模块进行亮码，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753735" cy="1481455"/>
            <wp:effectExtent l="0" t="0" r="12065" b="44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待检查任务页面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58815" cy="4110355"/>
            <wp:effectExtent l="0" t="0" r="6985" b="44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default"/>
          <w:lang w:val="en-US"/>
        </w:rPr>
      </w:pPr>
      <w:r>
        <w:rPr>
          <w:rFonts w:hint="eastAsia"/>
          <w:lang w:val="en-US" w:eastAsia="zh-CN"/>
        </w:rPr>
        <w:t>提交任务</w:t>
      </w:r>
    </w:p>
    <w:p>
      <w:pPr>
        <w:pStyle w:val="6"/>
      </w:pPr>
      <w:r>
        <w:rPr>
          <w:rFonts w:hint="eastAsia"/>
          <w:lang w:val="en-US" w:eastAsia="zh-CN"/>
        </w:rPr>
        <w:t>取消任务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方案审批通过后，可在待检查列表查看到待检查的任务，点击打开，进入任务详情页面，如根据实际情况，检查任务可能需要取消，可点击取消任务按钮。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55640" cy="4140835"/>
            <wp:effectExtent l="0" t="0" r="10160" b="1206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default"/>
          <w:lang w:val="en-US"/>
        </w:rPr>
      </w:pPr>
      <w:r>
        <w:rPr>
          <w:rFonts w:hint="eastAsia"/>
          <w:lang w:val="en-US" w:eastAsia="zh-CN"/>
        </w:rPr>
        <w:t>取消任务</w:t>
      </w:r>
    </w:p>
    <w:p>
      <w:pPr>
        <w:pStyle w:val="3"/>
      </w:pPr>
      <w:bookmarkStart w:id="116" w:name="_Toc31197"/>
      <w:bookmarkStart w:id="117" w:name="_Toc30368"/>
      <w:r>
        <w:rPr>
          <w:rFonts w:hint="eastAsia"/>
          <w:lang w:val="en-US" w:eastAsia="zh-CN"/>
        </w:rPr>
        <w:t>手机端</w:t>
      </w:r>
      <w:r>
        <w:rPr>
          <w:rFonts w:hint="eastAsia"/>
        </w:rPr>
        <w:t>功能操作说明</w:t>
      </w:r>
      <w:bookmarkEnd w:id="116"/>
      <w:bookmarkEnd w:id="117"/>
    </w:p>
    <w:p>
      <w:pPr>
        <w:pStyle w:val="4"/>
      </w:pPr>
      <w:bookmarkStart w:id="118" w:name="_Toc5857"/>
      <w:bookmarkStart w:id="119" w:name="_Toc433"/>
      <w:r>
        <w:rPr>
          <w:rFonts w:hint="eastAsia"/>
          <w:lang w:val="en-US" w:eastAsia="zh-CN"/>
        </w:rPr>
        <w:t>系统登录</w:t>
      </w:r>
      <w:bookmarkEnd w:id="118"/>
      <w:bookmarkEnd w:id="119"/>
    </w:p>
    <w:p>
      <w:pPr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第一步：手机端打开闽政务app，手机端未安装闽政务app的用户可通过手机应用市场进行下载。</w:t>
      </w: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第二步：在手机界面下方选择工作台，点击“闽执法”应用进入</w:t>
      </w:r>
    </w:p>
    <w:p>
      <w:pPr>
        <w:pStyle w:val="2"/>
        <w:ind w:left="480" w:leftChars="0" w:hanging="480" w:hangingChars="200"/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1456055" cy="3239770"/>
            <wp:effectExtent l="0" t="0" r="4445" b="11430"/>
            <wp:docPr id="16" name="图片 16" descr="068c6437d1f01725f51c118e3cbd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68c6437d1f01725f51c118e3cbd8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  <w:lang w:val="en-US" w:eastAsia="zh-CN"/>
        </w:rPr>
        <w:t>闽执法应用</w:t>
      </w:r>
    </w:p>
    <w:p>
      <w:pPr>
        <w:pStyle w:val="4"/>
      </w:pPr>
      <w:bookmarkStart w:id="120" w:name="_Toc14106"/>
      <w:bookmarkStart w:id="121" w:name="_Toc5821"/>
      <w:r>
        <w:rPr>
          <w:rFonts w:hint="eastAsia"/>
          <w:lang w:val="en-US" w:eastAsia="zh-CN"/>
        </w:rPr>
        <w:t>涉企检查</w:t>
      </w:r>
      <w:bookmarkEnd w:id="120"/>
      <w:bookmarkEnd w:id="121"/>
    </w:p>
    <w:p>
      <w:pPr>
        <w:pStyle w:val="2"/>
        <w:jc w:val="left"/>
        <w:rPr>
          <w:rFonts w:hint="default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执法人员到企后通过手机端闽执法-涉企检查功能，进入找到对应的检查任务，点击亮码，检查单位/企业的人员打开闽政通APP完成扫码提交操作，扫码后可进行启动检查，进入行政检查案件办理，检查具体操作可参照帮助中心-《福建省一体化大融合行政执法平台操作手册-移动端》文档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如企业人员无法扫码或不愿意操作扫码，可勾选无法扫码，选择具体原因。</w:t>
      </w:r>
    </w:p>
    <w:p>
      <w:pPr>
        <w:jc w:val="left"/>
      </w:pPr>
      <w:r>
        <w:drawing>
          <wp:inline distT="0" distB="0" distL="114300" distR="114300">
            <wp:extent cx="2430145" cy="4354195"/>
            <wp:effectExtent l="0" t="0" r="8255" b="190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2045" cy="4348480"/>
            <wp:effectExtent l="0" t="0" r="8255" b="762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1680" w:firstLineChars="700"/>
        <w:jc w:val="left"/>
      </w:pPr>
      <w:r>
        <w:rPr>
          <w:rFonts w:hint="eastAsia"/>
          <w:lang w:val="en-US" w:eastAsia="zh-CN"/>
        </w:rPr>
        <w:t>涉企检查                   图18：亮码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1934845" cy="3501390"/>
            <wp:effectExtent l="0" t="0" r="8255" b="381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b/>
          <w:bCs/>
          <w:lang w:val="en-US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图19：亮码页面</w:t>
      </w:r>
    </w:p>
    <w:sectPr>
      <w:footerReference r:id="rId8" w:type="default"/>
      <w:pgSz w:w="11906" w:h="16838"/>
      <w:pgMar w:top="1417" w:right="1417" w:bottom="1417" w:left="1417" w:header="851" w:footer="992" w:gutter="0"/>
      <w:paperSrc/>
      <w:pgNumType w:fmt="decimal" w:start="1"/>
      <w:cols w:space="0" w:num="1"/>
      <w:rtlGutter w:val="0"/>
      <w:docGrid w:type="lines" w:linePitch="333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auto" w:sz="4" w:space="0"/>
      </w:pBdr>
      <w:spacing w:line="240" w:lineRule="auto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auto" w:sz="4" w:space="0"/>
      </w:pBdr>
      <w:spacing w:line="240" w:lineRule="auto"/>
      <w:ind w:firstLine="0" w:firstLineChars="0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pBdr>
                              <w:top w:val="single" w:color="auto" w:sz="4" w:space="0"/>
                            </w:pBdr>
                            <w:spacing w:line="240" w:lineRule="auto"/>
                            <w:ind w:firstLine="0" w:firstLineChars="0"/>
                            <w:jc w:val="both"/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val="en-US" w:eastAsia="zh-CN"/>
                            </w:rPr>
                            <w:t>福建省大数据集团有限公司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 xml:space="preserve">第 </w: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  <w:szCs w:val="15"/>
                            </w:rPr>
                            <w:instrText xml:space="preserve">PAGE   \* MERGEFORMAT</w:instrTex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separate"/>
                          </w:r>
                          <w:r>
                            <w:rPr>
                              <w:sz w:val="15"/>
                              <w:szCs w:val="15"/>
                              <w:lang w:val="zh-CN"/>
                            </w:rPr>
                            <w:t>1</w: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 xml:space="preserve">页 共 </w: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  <w:szCs w:val="15"/>
                            </w:rPr>
                            <w:instrText xml:space="preserve"> SECTIONPAGES  \* Arabic  \* MERGEFORMAT </w:instrTex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separate"/>
                          </w:r>
                          <w:r>
                            <w:rPr>
                              <w:sz w:val="15"/>
                              <w:szCs w:val="15"/>
                            </w:rPr>
                            <w:t>318</w:t>
                          </w:r>
                          <w:r>
                            <w:rPr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Dee5v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FDee5v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pBdr>
                        <w:top w:val="single" w:color="auto" w:sz="4" w:space="0"/>
                      </w:pBdr>
                      <w:spacing w:line="240" w:lineRule="auto"/>
                      <w:ind w:firstLine="0" w:firstLineChars="0"/>
                      <w:jc w:val="both"/>
                    </w:pPr>
                    <w:r>
                      <w:rPr>
                        <w:rFonts w:hint="eastAsia"/>
                        <w:sz w:val="15"/>
                        <w:szCs w:val="15"/>
                        <w:lang w:val="en-US" w:eastAsia="zh-CN"/>
                      </w:rPr>
                      <w:t>福建省大数据集团有限公司</w:t>
                    </w:r>
                    <w:r>
                      <w:rPr>
                        <w:rFonts w:hint="eastAsia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z w:val="15"/>
                        <w:szCs w:val="15"/>
                      </w:rPr>
                      <w:t xml:space="preserve">                                                                            </w:t>
                    </w:r>
                    <w:r>
                      <w:rPr>
                        <w:rFonts w:hint="eastAsia"/>
                        <w:sz w:val="15"/>
                        <w:szCs w:val="15"/>
                      </w:rPr>
                      <w:t xml:space="preserve">第 </w:t>
                    </w:r>
                    <w:r>
                      <w:rPr>
                        <w:sz w:val="15"/>
                        <w:szCs w:val="15"/>
                      </w:rPr>
                      <w:fldChar w:fldCharType="begin"/>
                    </w:r>
                    <w:r>
                      <w:rPr>
                        <w:sz w:val="15"/>
                        <w:szCs w:val="15"/>
                      </w:rPr>
                      <w:instrText xml:space="preserve">PAGE   \* MERGEFORMAT</w:instrText>
                    </w:r>
                    <w:r>
                      <w:rPr>
                        <w:sz w:val="15"/>
                        <w:szCs w:val="15"/>
                      </w:rPr>
                      <w:fldChar w:fldCharType="separate"/>
                    </w:r>
                    <w:r>
                      <w:rPr>
                        <w:sz w:val="15"/>
                        <w:szCs w:val="15"/>
                        <w:lang w:val="zh-CN"/>
                      </w:rPr>
                      <w:t>1</w:t>
                    </w:r>
                    <w:r>
                      <w:rPr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hint="eastAsia"/>
                        <w:sz w:val="15"/>
                        <w:szCs w:val="15"/>
                      </w:rPr>
                      <w:t xml:space="preserve">页 共 </w:t>
                    </w:r>
                    <w:r>
                      <w:rPr>
                        <w:sz w:val="15"/>
                        <w:szCs w:val="15"/>
                      </w:rPr>
                      <w:fldChar w:fldCharType="begin"/>
                    </w:r>
                    <w:r>
                      <w:rPr>
                        <w:sz w:val="15"/>
                        <w:szCs w:val="15"/>
                      </w:rPr>
                      <w:instrText xml:space="preserve"> SECTIONPAGES  \* Arabic  \* MERGEFORMAT </w:instrText>
                    </w:r>
                    <w:r>
                      <w:rPr>
                        <w:sz w:val="15"/>
                        <w:szCs w:val="15"/>
                      </w:rPr>
                      <w:fldChar w:fldCharType="separate"/>
                    </w:r>
                    <w:r>
                      <w:rPr>
                        <w:sz w:val="15"/>
                        <w:szCs w:val="15"/>
                      </w:rPr>
                      <w:t>318</w:t>
                    </w:r>
                    <w:r>
                      <w:rPr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rFonts w:hint="eastAsia"/>
                        <w:sz w:val="15"/>
                        <w:szCs w:val="15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240" w:lineRule="auto"/>
      <w:ind w:firstLine="0" w:firstLineChars="0"/>
      <w:jc w:val="both"/>
    </w:pPr>
    <w:r>
      <w:rPr>
        <w:rStyle w:val="12"/>
        <w:rFonts w:hint="eastAsia" w:ascii="黑体" w:hAnsi="黑体" w:eastAsia="宋体"/>
        <w:sz w:val="15"/>
        <w:szCs w:val="15"/>
        <w:lang w:val="en-US" w:eastAsia="zh-CN"/>
      </w:rPr>
      <w:t>福建省一体化大融合行政执法平台</w:t>
    </w:r>
    <w:r>
      <w:rPr>
        <w:rStyle w:val="12"/>
        <w:rFonts w:hint="eastAsia" w:ascii="黑体" w:hAnsi="黑体"/>
        <w:sz w:val="15"/>
        <w:szCs w:val="15"/>
      </w:rPr>
      <w:t xml:space="preserve">                    </w:t>
    </w:r>
    <w:r>
      <w:rPr>
        <w:rStyle w:val="12"/>
        <w:rFonts w:hint="eastAsia" w:ascii="黑体" w:hAnsi="黑体" w:eastAsia="宋体"/>
        <w:sz w:val="15"/>
        <w:szCs w:val="15"/>
        <w:lang w:val="en-US" w:eastAsia="zh-CN"/>
      </w:rPr>
      <w:t xml:space="preserve">                                                      涉企检查操作</w:t>
    </w:r>
    <w:r>
      <w:rPr>
        <w:rStyle w:val="12"/>
        <w:rFonts w:hint="eastAsia" w:ascii="黑体" w:hAnsi="黑体"/>
        <w:sz w:val="15"/>
        <w:szCs w:val="15"/>
      </w:rPr>
      <w:t>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488849"/>
    <w:multiLevelType w:val="multilevel"/>
    <w:tmpl w:val="E2488849"/>
    <w:lvl w:ilvl="0" w:tentative="0">
      <w:start w:val="1"/>
      <w:numFmt w:val="decimal"/>
      <w:pStyle w:val="17"/>
      <w:suff w:val="nothing"/>
      <w:lvlText w:val="图%1："/>
      <w:lvlJc w:val="left"/>
      <w:pPr>
        <w:ind w:left="0" w:firstLine="0"/>
      </w:pPr>
      <w:rPr>
        <w:rFonts w:hint="default" w:ascii="黑体" w:hAnsi="黑体" w:eastAsia="黑体" w:cs="黑体"/>
        <w:sz w:val="24"/>
        <w:szCs w:val="24"/>
      </w:rPr>
    </w:lvl>
    <w:lvl w:ilvl="1" w:tentative="0">
      <w:start w:val="1"/>
      <w:numFmt w:val="decimal"/>
      <w:lvlText w:val="图%2：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 w:cs="宋体"/>
        <w:sz w:val="24"/>
        <w:szCs w:val="24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 w:ascii="黑体" w:hAnsi="黑体" w:eastAsia="黑体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 w:ascii="黑体" w:hAnsi="黑体" w:eastAsia="黑体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 w:ascii="黑体" w:hAnsi="黑体" w:eastAsia="黑体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 w:ascii="黑体" w:hAnsi="黑体" w:eastAsia="黑体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 w:ascii="黑体" w:hAnsi="黑体" w:eastAsia="黑体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 w:ascii="黑体" w:hAnsi="黑体" w:eastAsia="黑体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 w:ascii="黑体" w:hAnsi="黑体" w:eastAsia="黑体"/>
      </w:rPr>
    </w:lvl>
  </w:abstractNum>
  <w:abstractNum w:abstractNumId="1">
    <w:nsid w:val="3D024C4E"/>
    <w:multiLevelType w:val="multilevel"/>
    <w:tmpl w:val="3D024C4E"/>
    <w:lvl w:ilvl="0" w:tentative="0">
      <w:start w:val="1"/>
      <w:numFmt w:val="chineseCounting"/>
      <w:pStyle w:val="3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isLgl/>
      <w:suff w:val="space"/>
      <w:lvlText w:val="%1.%2"/>
      <w:lvlJc w:val="left"/>
      <w:pPr>
        <w:ind w:left="680" w:hanging="680"/>
      </w:pPr>
      <w:rPr>
        <w:rFonts w:hint="default" w:ascii="Arial" w:hAnsi="Arial" w:cs="宋体"/>
        <w:b w:val="0"/>
        <w:i w:val="0"/>
        <w:sz w:val="32"/>
      </w:rPr>
    </w:lvl>
    <w:lvl w:ilvl="2" w:tentative="0">
      <w:start w:val="1"/>
      <w:numFmt w:val="decimal"/>
      <w:pStyle w:val="5"/>
      <w:isLgl/>
      <w:suff w:val="space"/>
      <w:lvlText w:val="%1.%2.%3"/>
      <w:lvlJc w:val="left"/>
      <w:pPr>
        <w:ind w:left="680" w:hanging="680"/>
      </w:pPr>
      <w:rPr>
        <w:rFonts w:hint="default"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vertAlign w:val="baseline"/>
      </w:rPr>
    </w:lvl>
    <w:lvl w:ilvl="3" w:tentative="0">
      <w:start w:val="1"/>
      <w:numFmt w:val="decimal"/>
      <w:pStyle w:val="6"/>
      <w:isLgl/>
      <w:suff w:val="space"/>
      <w:lvlText w:val="%1.%2.%3.%4"/>
      <w:lvlJc w:val="left"/>
      <w:pPr>
        <w:ind w:left="680" w:hanging="680"/>
      </w:pPr>
      <w:rPr>
        <w:rFonts w:hint="default"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4"/>
        <w:u w:val="none"/>
        <w:vertAlign w:val="baseline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680" w:hanging="680"/>
      </w:pPr>
      <w:rPr>
        <w:rFonts w:hint="default"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4"/>
        <w:u w:val="none"/>
        <w:vertAlign w:val="baseline"/>
      </w:rPr>
    </w:lvl>
    <w:lvl w:ilvl="5" w:tentative="0">
      <w:start w:val="1"/>
      <w:numFmt w:val="decimal"/>
      <w:isLgl/>
      <w:suff w:val="space"/>
      <w:lvlText w:val="%1.%2.%3.%4.%5.%6"/>
      <w:lvlJc w:val="left"/>
      <w:pPr>
        <w:ind w:left="680" w:hanging="680"/>
      </w:pPr>
      <w:rPr>
        <w:rFonts w:hint="default" w:ascii="Arial" w:hAnsi="Arial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spacing w:val="0"/>
        <w:position w:val="0"/>
        <w:sz w:val="24"/>
        <w:u w:val="none"/>
        <w:vertAlign w:val="baseline"/>
      </w:rPr>
    </w:lvl>
    <w:lvl w:ilvl="6" w:tentative="0">
      <w:start w:val="1"/>
      <w:numFmt w:val="decimal"/>
      <w:isLgl/>
      <w:suff w:val="space"/>
      <w:lvlText w:val="%1.%2.%3.%4.%5.%6.%7."/>
      <w:lvlJc w:val="left"/>
      <w:pPr>
        <w:ind w:left="680" w:hanging="680"/>
      </w:pPr>
      <w:rPr>
        <w:rFonts w:hint="default" w:ascii="Arial" w:hAnsi="Arial"/>
        <w:b w:val="0"/>
        <w:i w:val="0"/>
        <w:sz w:val="24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6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lNGE5ZTFhMWI4Y2M0M2ZiZmRlNjUyMWVhYjNkOWQifQ=="/>
  </w:docVars>
  <w:rsids>
    <w:rsidRoot w:val="29043CF5"/>
    <w:rsid w:val="09622C8A"/>
    <w:rsid w:val="164109DB"/>
    <w:rsid w:val="257F6C45"/>
    <w:rsid w:val="29043CF5"/>
    <w:rsid w:val="2C5129BE"/>
    <w:rsid w:val="2D1C121E"/>
    <w:rsid w:val="3F6F1681"/>
    <w:rsid w:val="44736C5A"/>
    <w:rsid w:val="4CE0771A"/>
    <w:rsid w:val="61AD3C17"/>
    <w:rsid w:val="70AB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883" w:firstLineChars="200"/>
    </w:pPr>
    <w:rPr>
      <w:rFonts w:ascii="宋体" w:hAnsi="宋体" w:eastAsia="宋体" w:cs="Times New Roman"/>
      <w:kern w:val="2"/>
      <w:sz w:val="24"/>
      <w:szCs w:val="22"/>
      <w:lang w:val="en-US" w:eastAsia="zh-CN" w:bidi="ar-SA"/>
    </w:rPr>
  </w:style>
  <w:style w:type="paragraph" w:styleId="3">
    <w:name w:val="heading 1"/>
    <w:qFormat/>
    <w:uiPriority w:val="9"/>
    <w:pPr>
      <w:pageBreakBefore/>
      <w:widowControl w:val="0"/>
      <w:numPr>
        <w:ilvl w:val="0"/>
        <w:numId w:val="1"/>
      </w:numPr>
      <w:spacing w:line="480" w:lineRule="auto"/>
      <w:ind w:left="431" w:hanging="431"/>
      <w:jc w:val="center"/>
      <w:outlineLvl w:val="0"/>
    </w:pPr>
    <w:rPr>
      <w:rFonts w:ascii="Times New Roman" w:hAnsi="Times New Roman" w:eastAsia="黑体" w:cs="Times New Roman"/>
      <w:bCs/>
      <w:kern w:val="44"/>
      <w:sz w:val="36"/>
      <w:szCs w:val="44"/>
      <w:lang w:val="en-US" w:eastAsia="zh-CN" w:bidi="ar-SA"/>
    </w:rPr>
  </w:style>
  <w:style w:type="paragraph" w:styleId="4">
    <w:name w:val="heading 2"/>
    <w:qFormat/>
    <w:uiPriority w:val="9"/>
    <w:pPr>
      <w:keepNext/>
      <w:keepLines/>
      <w:numPr>
        <w:ilvl w:val="1"/>
        <w:numId w:val="1"/>
      </w:numPr>
      <w:tabs>
        <w:tab w:val="left" w:pos="576"/>
      </w:tabs>
      <w:spacing w:line="480" w:lineRule="auto"/>
      <w:outlineLvl w:val="1"/>
    </w:pPr>
    <w:rPr>
      <w:rFonts w:ascii="等线 Light" w:hAnsi="等线 Light" w:eastAsia="黑体" w:cs="Times New Roman"/>
      <w:bCs/>
      <w:sz w:val="32"/>
      <w:szCs w:val="32"/>
      <w:lang w:val="en-US" w:eastAsia="zh-CN" w:bidi="ar-SA"/>
    </w:rPr>
  </w:style>
  <w:style w:type="paragraph" w:styleId="5">
    <w:name w:val="heading 3"/>
    <w:qFormat/>
    <w:uiPriority w:val="9"/>
    <w:pPr>
      <w:keepNext/>
      <w:keepLines/>
      <w:numPr>
        <w:ilvl w:val="2"/>
        <w:numId w:val="1"/>
      </w:numPr>
      <w:tabs>
        <w:tab w:val="left" w:pos="720"/>
      </w:tabs>
      <w:spacing w:line="480" w:lineRule="auto"/>
      <w:outlineLvl w:val="2"/>
    </w:pPr>
    <w:rPr>
      <w:rFonts w:ascii="Times New Roman" w:hAnsi="Times New Roman" w:eastAsia="黑体" w:cs="Times New Roman"/>
      <w:bCs/>
      <w:color w:val="000000"/>
      <w:sz w:val="28"/>
      <w:szCs w:val="32"/>
      <w:lang w:val="en-US" w:eastAsia="zh-CN" w:bidi="ar-SA"/>
    </w:rPr>
  </w:style>
  <w:style w:type="paragraph" w:styleId="6">
    <w:name w:val="heading 4"/>
    <w:next w:val="1"/>
    <w:qFormat/>
    <w:uiPriority w:val="0"/>
    <w:pPr>
      <w:keepNext/>
      <w:keepLines/>
      <w:numPr>
        <w:ilvl w:val="3"/>
        <w:numId w:val="1"/>
      </w:numPr>
      <w:spacing w:line="480" w:lineRule="auto"/>
      <w:outlineLvl w:val="3"/>
    </w:pPr>
    <w:rPr>
      <w:rFonts w:ascii="Arial" w:hAnsi="Arial" w:eastAsia="黑体" w:cs="Times New Roman"/>
      <w:kern w:val="2"/>
      <w:sz w:val="24"/>
      <w:szCs w:val="22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unhideWhenUsed/>
    <w:qFormat/>
    <w:uiPriority w:val="39"/>
    <w:pPr>
      <w:widowControl/>
      <w:tabs>
        <w:tab w:val="left" w:pos="1260"/>
        <w:tab w:val="right" w:leader="dot" w:pos="9054"/>
      </w:tabs>
      <w:ind w:firstLine="200"/>
      <w:jc w:val="center"/>
    </w:pPr>
    <w:rPr>
      <w:rFonts w:ascii="Times New Roman" w:hAnsi="Times New Roman" w:eastAsia="黑体"/>
      <w:kern w:val="0"/>
      <w:sz w:val="24"/>
    </w:rPr>
  </w:style>
  <w:style w:type="paragraph" w:styleId="7">
    <w:name w:val="Body Text"/>
    <w:basedOn w:val="1"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等线" w:hAnsi="等线" w:eastAsia="等线" w:cs="Times New Roman"/>
      <w:sz w:val="18"/>
      <w:szCs w:val="18"/>
    </w:rPr>
  </w:style>
  <w:style w:type="character" w:styleId="12">
    <w:name w:val="page number"/>
    <w:qFormat/>
    <w:uiPriority w:val="0"/>
    <w:rPr>
      <w:rFonts w:ascii="Calibri" w:hAnsi="Calibri" w:eastAsia="宋体"/>
      <w:sz w:val="21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表头"/>
    <w:basedOn w:val="15"/>
    <w:qFormat/>
    <w:uiPriority w:val="0"/>
    <w:pPr>
      <w:spacing w:line="360" w:lineRule="auto"/>
      <w:jc w:val="center"/>
    </w:pPr>
    <w:rPr>
      <w:rFonts w:ascii="Times New Roman" w:hAnsi="Times New Roman"/>
      <w:b/>
      <w:sz w:val="21"/>
    </w:rPr>
  </w:style>
  <w:style w:type="paragraph" w:customStyle="1" w:styleId="15">
    <w:name w:val="表内容"/>
    <w:qFormat/>
    <w:uiPriority w:val="0"/>
    <w:pPr>
      <w:spacing w:line="360" w:lineRule="auto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6">
    <w:name w:val="表标题"/>
    <w:uiPriority w:val="0"/>
    <w:pPr>
      <w:spacing w:line="360" w:lineRule="auto"/>
      <w:jc w:val="center"/>
    </w:pPr>
    <w:rPr>
      <w:rFonts w:ascii="Times New Roman" w:hAnsi="Times New Roman" w:eastAsia="黑体" w:cs="Times New Roman"/>
      <w:sz w:val="24"/>
      <w:lang w:val="en-US" w:eastAsia="zh-CN" w:bidi="ar-SA"/>
    </w:rPr>
  </w:style>
  <w:style w:type="paragraph" w:customStyle="1" w:styleId="17">
    <w:name w:val="图名称"/>
    <w:basedOn w:val="18"/>
    <w:next w:val="1"/>
    <w:qFormat/>
    <w:uiPriority w:val="0"/>
    <w:pPr>
      <w:numPr>
        <w:ilvl w:val="0"/>
        <w:numId w:val="2"/>
      </w:numPr>
      <w:tabs>
        <w:tab w:val="left" w:pos="0"/>
      </w:tabs>
    </w:pPr>
  </w:style>
  <w:style w:type="paragraph" w:customStyle="1" w:styleId="18">
    <w:name w:val="图片说明"/>
    <w:basedOn w:val="1"/>
    <w:qFormat/>
    <w:uiPriority w:val="0"/>
    <w:pPr>
      <w:ind w:firstLine="0" w:firstLineChars="0"/>
      <w:jc w:val="center"/>
    </w:pPr>
    <w:rPr>
      <w:rFonts w:hint="eastAsia" w:ascii="黑体" w:hAnsi="黑体" w:eastAsia="黑体" w:cs="黑体"/>
    </w:rPr>
  </w:style>
  <w:style w:type="paragraph" w:customStyle="1" w:styleId="19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20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21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1138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2025-06-14T03:16:00Z</dcterms:created>
  <dc:creator>晓伟</dc:creator>
  <cp:lastModifiedBy>晓伟</cp:lastModifiedBy>
  <dcterms:modified xsi:type="dcterms:W3CDTF">2025-06-15T01:47:43Z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07F9B2141B954D7D9DFDF1DD089832FF_11</vt:lpwstr>
  </property>
</Properties>
</file>